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برنامج حكومة التعافي الوطني</w:t>
      </w:r>
    </w:p>
    <w:p>
      <w:pPr>
        <w:pStyle w:val="CoverSubtitle"/>
        <w:bidi/>
      </w:pPr>
      <w:r>
        <w:rPr>
          <w:rtl/>
        </w:rPr>
        <w:t xml:space="preserve">البرنامج التنفيذي للفترة الانتقالية وملاحقه التشغيلية</w:t>
      </w:r>
    </w:p>
    <w:p>
      <w:pPr>
        <w:pStyle w:val="CoverNote"/>
        <w:bidi/>
      </w:pPr>
      <w:r>
        <w:rPr>
          <w:rtl/>
        </w:rPr>
        <w:t xml:space="preserve">الإصدار الثاني، مشروع للنقاش</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(مشروع للنقاش، من الوثائق المرافقة لرؤية «عهد جديد». الإصدار الثاني، معدّل وموسّع بعد تقييم نقدي خارجي. يترجم الرؤية ومشروع الدستور الانتقالي لسنة 2026 إلى برنامج تنفيذي لحكومة التعافي الوطني. ويتكون من نص رئيسي مركّز، وستة ملاحق تشغيلية. ويصبح ملزماً للحكومة بعد إجازته من الجمعية التأسيسية الانتقالية.)</w:t>
      </w:r>
    </w:p>
    <w:p>
      <w:pPr>
        <w:bidi/>
      </w:pPr>
      <w:r>
        <w:rPr>
          <w:rtl/>
        </w:rPr>
        <w:br w:type="page"/>
      </w:r>
    </w:p>
    <w:bookmarkEnd w:id="20"/>
    <w:bookmarkStart w:id="21" w:name="أولا-طبيعة-البرنامج-وحدوده"/>
    <w:p>
      <w:pPr>
        <w:pStyle w:val="Heading1"/>
        <w:bidi/>
      </w:pPr>
      <w:r>
        <w:rPr>
          <w:rtl/>
        </w:rPr>
        <w:t xml:space="preserve">أولاً: طبيعة البرنامج وحدوده</w:t>
      </w:r>
    </w:p>
    <w:p>
      <w:pPr>
        <w:pStyle w:val="FirstParagraph"/>
        <w:bidi/>
      </w:pPr>
      <w:r>
        <w:rPr>
          <w:rtl/>
        </w:rPr>
        <w:t xml:space="preserve">إن هذا البرنامج ليس رؤية جديدة، وإنما هو</w:t>
      </w:r>
      <w:r>
        <w:rPr>
          <w:rtl/>
        </w:rPr>
        <w:t xml:space="preserve"> </w:t>
      </w:r>
      <w:r>
        <w:rPr>
          <w:b/>
          <w:bCs/>
          <w:rtl/>
        </w:rPr>
        <w:t xml:space="preserve">خطة عمل</w:t>
      </w:r>
      <w:r>
        <w:rPr>
          <w:rtl/>
        </w:rPr>
        <w:t xml:space="preserve"> </w:t>
      </w:r>
      <w:r>
        <w:rPr>
          <w:rtl/>
        </w:rPr>
        <w:t xml:space="preserve">لحكومة محددة المهام والزمن. فهو يجيب عن أسئلة عملية: ماذا تفعل الحكومة، وبأي ترتيب، ومن يتولى كل مهمة، ومتى، وبأي موارد، وكيف يُقاس الإنجاز، وماذا يحدث إذا تعثر أمر ما.</w:t>
      </w:r>
    </w:p>
    <w:p>
      <w:pPr>
        <w:pStyle w:val="BodyText"/>
        <w:bidi/>
      </w:pPr>
      <w:r>
        <w:rPr>
          <w:b/>
          <w:bCs/>
          <w:rtl/>
        </w:rPr>
        <w:t xml:space="preserve">مرجعيته:</w:t>
      </w:r>
      <w:r>
        <w:rPr>
          <w:rtl/>
        </w:rPr>
        <w:t xml:space="preserve"> </w:t>
      </w:r>
      <w:r>
        <w:rPr>
          <w:rtl/>
        </w:rPr>
        <w:t xml:space="preserve">رؤية «عهد جديد»، ومشروع الدستور الانتقالي لسنة 2026، والميثاق الوطني الذي سيصدر عن الحوار الوطني.</w:t>
      </w:r>
    </w:p>
    <w:p>
      <w:pPr>
        <w:pStyle w:val="BodyText"/>
        <w:bidi/>
      </w:pPr>
      <w:r>
        <w:rPr>
          <w:b/>
          <w:bCs/>
          <w:rtl/>
        </w:rPr>
        <w:t xml:space="preserve">بنيته:</w:t>
      </w:r>
      <w:r>
        <w:rPr>
          <w:rtl/>
        </w:rPr>
        <w:t xml:space="preserve"> </w:t>
      </w:r>
      <w:r>
        <w:rPr>
          <w:rtl/>
        </w:rPr>
        <w:t xml:space="preserve">نص رئيسي يحدد الأهداف والمسارات والقواعد، وستة ملاحق تشغيلية هي أدوات الإدارة اليومية: مصفوفة التنفيذ، والإطار المالي، وقاموس المؤشرات، والهيكل المؤسسي، والأجندة التشريعية، والخطة الزمنية الشاملة.</w:t>
      </w:r>
    </w:p>
    <w:p>
      <w:pPr>
        <w:pStyle w:val="BodyText"/>
        <w:bidi/>
      </w:pPr>
      <w:r>
        <w:rPr>
          <w:b/>
          <w:bCs/>
          <w:rtl/>
        </w:rPr>
        <w:t xml:space="preserve">مدته:</w:t>
      </w:r>
      <w:r>
        <w:rPr>
          <w:rtl/>
        </w:rPr>
        <w:t xml:space="preserve"> </w:t>
      </w:r>
      <w:r>
        <w:rPr>
          <w:rtl/>
        </w:rPr>
        <w:t xml:space="preserve">تحكمها المادتان (2) و(99) من مشروع الدستور الانتقالي:</w:t>
      </w:r>
    </w:p>
    <w:p>
      <w:pPr>
        <w:pStyle w:val="Compact"/>
        <w:numPr>
          <w:ilvl w:val="0"/>
          <w:numId w:val="1001"/>
        </w:numPr>
        <w:bidi/>
      </w:pPr>
      <w:r>
        <w:rPr>
          <w:b/>
          <w:bCs/>
          <w:rtl/>
        </w:rPr>
        <w:t xml:space="preserve">الشهر الثلاثون هو الموعد المستهدف</w:t>
      </w:r>
      <w:r>
        <w:rPr>
          <w:rtl/>
        </w:rPr>
        <w:t xml:space="preserve"> </w:t>
      </w:r>
      <w:r>
        <w:rPr>
          <w:rtl/>
        </w:rPr>
        <w:t xml:space="preserve">لإجراء الانتخابات العامة، وتُبنى عليه كل خطط هذا البرنامج.</w:t>
      </w:r>
    </w:p>
    <w:p>
      <w:pPr>
        <w:pStyle w:val="Compact"/>
        <w:numPr>
          <w:ilvl w:val="0"/>
          <w:numId w:val="1001"/>
        </w:numPr>
        <w:bidi/>
      </w:pPr>
      <w:r>
        <w:rPr>
          <w:b/>
          <w:bCs/>
          <w:rtl/>
        </w:rPr>
        <w:t xml:space="preserve">الشهر السادس والثلاثون حد دستوري أقصى واستثنائي</w:t>
      </w:r>
      <w:r>
        <w:rPr>
          <w:rtl/>
        </w:rPr>
        <w:t xml:space="preserve">، لا يُلجأ إليه إلا إذا حالت ظروف قاهرة موثقة دون الموعد المستهدف، وبقرار معلن ومسبب من الجمعية التأسيسية الانتقالية. ولا يتحول الحد الأقصى إلى موعد بديل عادي.</w:t>
      </w:r>
    </w:p>
    <w:p>
      <w:pPr>
        <w:pStyle w:val="FirstParagraph"/>
        <w:bidi/>
      </w:pPr>
      <w:r>
        <w:rPr>
          <w:b/>
          <w:bCs/>
          <w:rtl/>
        </w:rPr>
        <w:t xml:space="preserve">حدوده:</w:t>
      </w:r>
      <w:r>
        <w:rPr>
          <w:rtl/>
        </w:rPr>
        <w:t xml:space="preserve"> </w:t>
      </w:r>
      <w:r>
        <w:rPr>
          <w:rtl/>
        </w:rPr>
        <w:t xml:space="preserve">تلتزم الحكومة بالمهام العشر التي حصرها الدستور الانتقالي، ولا تبرم التزامات طويلة الأجل ترهن مستقبل البلاد خارجها إلا بموافقة الجمعية بأغلبية الثلثين.</w:t>
      </w:r>
      <w:r>
        <w:rPr>
          <w:rtl/>
        </w:rPr>
        <w:t xml:space="preserve"> </w:t>
      </w:r>
      <w:r>
        <w:rPr>
          <w:b/>
          <w:bCs/>
          <w:rtl/>
        </w:rPr>
        <w:t xml:space="preserve">ولا يترشح أعضاء الحكومة في الانتخابات العامة الأولى</w:t>
      </w:r>
      <w:r>
        <w:rPr>
          <w:rtl/>
        </w:rPr>
        <w:t xml:space="preserve">، بنص المادتين (58) و(100) من مشروع الدستور، فهم يعملون لإنجاح الانتقال لا للفوز به.</w:t>
      </w:r>
    </w:p>
    <w:p>
      <w:pPr>
        <w:bidi/>
      </w:pPr>
      <w:r>
        <w:rPr>
          <w:rtl/>
        </w:rPr>
        <w:br w:type="page"/>
      </w:r>
    </w:p>
    <w:bookmarkEnd w:id="21"/>
    <w:bookmarkStart w:id="22" w:name="ثانيا-الأهداف-الثمانية"/>
    <w:p>
      <w:pPr>
        <w:pStyle w:val="Heading1"/>
        <w:bidi/>
      </w:pPr>
      <w:r>
        <w:rPr>
          <w:rtl/>
        </w:rPr>
        <w:t xml:space="preserve">ثانياً: الأهداف الثمانية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w:t>
            </w:r>
          </w:p>
        </w:tc>
        <w:tc>
          <w:tcPr/>
          <w:p>
            <w:pPr>
              <w:pStyle w:val="Compact"/>
              <w:bidi/>
              <w:jc w:val="left"/>
            </w:pPr>
            <w:r>
              <w:rPr>
                <w:rtl/>
              </w:rPr>
              <w:t xml:space="preserve">الهدف</w:t>
            </w:r>
          </w:p>
        </w:tc>
        <w:tc>
          <w:tcPr/>
          <w:p>
            <w:pPr>
              <w:pStyle w:val="Compact"/>
              <w:bidi/>
              <w:jc w:val="left"/>
            </w:pPr>
            <w:r>
              <w:rPr>
                <w:rtl/>
              </w:rPr>
              <w:t xml:space="preserve">المؤشر الرئيسي في نهاية الانتقال</w:t>
            </w:r>
          </w:p>
        </w:tc>
      </w:tr>
      <w:tr>
        <w:tc>
          <w:tcPr/>
          <w:p>
            <w:pPr>
              <w:pStyle w:val="Compact"/>
              <w:bidi/>
              <w:jc w:val="left"/>
            </w:pPr>
            <w:r>
              <w:rPr>
                <w:rtl/>
              </w:rPr>
              <w:t xml:space="preserve">1</w:t>
            </w:r>
          </w:p>
        </w:tc>
        <w:tc>
          <w:tcPr/>
          <w:p>
            <w:pPr>
              <w:pStyle w:val="Compact"/>
              <w:bidi/>
              <w:jc w:val="left"/>
            </w:pPr>
            <w:r>
              <w:rPr>
                <w:b/>
                <w:bCs/>
                <w:rtl/>
              </w:rPr>
              <w:t xml:space="preserve">إنهاء الحرب وتوحيد السلاح</w:t>
            </w:r>
          </w:p>
        </w:tc>
        <w:tc>
          <w:tcPr/>
          <w:p>
            <w:pPr>
              <w:pStyle w:val="Compact"/>
              <w:bidi/>
              <w:jc w:val="left"/>
            </w:pPr>
            <w:r>
              <w:rPr>
                <w:rtl/>
              </w:rPr>
              <w:t xml:space="preserve">وقف شامل لإطلاق النار؛ خفض عدد المقاتلين في التشكيلات المسلحة خارج الدولة بنسبة 60%؛ 50 ألف مسرَّح أو مدموج بنهاية الشهر 18</w:t>
            </w:r>
          </w:p>
        </w:tc>
      </w:tr>
      <w:tr>
        <w:tc>
          <w:tcPr/>
          <w:p>
            <w:pPr>
              <w:pStyle w:val="Compact"/>
              <w:bidi/>
              <w:jc w:val="left"/>
            </w:pPr>
            <w:r>
              <w:rPr>
                <w:rtl/>
              </w:rPr>
              <w:t xml:space="preserve">2</w:t>
            </w:r>
          </w:p>
        </w:tc>
        <w:tc>
          <w:tcPr/>
          <w:p>
            <w:pPr>
              <w:pStyle w:val="Compact"/>
              <w:bidi/>
              <w:jc w:val="left"/>
            </w:pPr>
            <w:r>
              <w:rPr>
                <w:b/>
                <w:bCs/>
                <w:rtl/>
              </w:rPr>
              <w:t xml:space="preserve">منع المجاعة ووقف الانهيار المعيشي</w:t>
            </w:r>
          </w:p>
        </w:tc>
        <w:tc>
          <w:tcPr/>
          <w:p>
            <w:pPr>
              <w:pStyle w:val="Compact"/>
              <w:bidi/>
              <w:jc w:val="left"/>
            </w:pPr>
            <w:r>
              <w:rPr>
                <w:rtl/>
              </w:rPr>
              <w:t xml:space="preserve">انتظام دفع الرواتب؛ فتح الممرات الإنسانية؛ تضخم دون 30%</w:t>
            </w:r>
          </w:p>
        </w:tc>
      </w:tr>
      <w:tr>
        <w:tc>
          <w:tcPr/>
          <w:p>
            <w:pPr>
              <w:pStyle w:val="Compact"/>
              <w:bidi/>
              <w:jc w:val="left"/>
            </w:pPr>
            <w:r>
              <w:rPr>
                <w:rtl/>
              </w:rPr>
              <w:t xml:space="preserve">3</w:t>
            </w:r>
          </w:p>
        </w:tc>
        <w:tc>
          <w:tcPr/>
          <w:p>
            <w:pPr>
              <w:pStyle w:val="Compact"/>
              <w:bidi/>
              <w:jc w:val="left"/>
            </w:pPr>
            <w:r>
              <w:rPr>
                <w:b/>
                <w:bCs/>
                <w:rtl/>
              </w:rPr>
              <w:t xml:space="preserve">استعادة وظائف الدولة وبناء قدرتها</w:t>
            </w:r>
          </w:p>
        </w:tc>
        <w:tc>
          <w:tcPr/>
          <w:p>
            <w:pPr>
              <w:pStyle w:val="Compact"/>
              <w:bidi/>
              <w:jc w:val="left"/>
            </w:pPr>
            <w:r>
              <w:rPr>
                <w:rtl/>
              </w:rPr>
              <w:t xml:space="preserve">موازنة منشورة سنوياً؛ 40% من الخدمات الحكومية رقمية؛ 50% من التعيينات العليا بمسابقات معلنة</w:t>
            </w:r>
          </w:p>
        </w:tc>
      </w:tr>
      <w:tr>
        <w:tc>
          <w:tcPr/>
          <w:p>
            <w:pPr>
              <w:pStyle w:val="Compact"/>
              <w:bidi/>
              <w:jc w:val="left"/>
            </w:pPr>
            <w:r>
              <w:rPr>
                <w:rtl/>
              </w:rPr>
              <w:t xml:space="preserve">4</w:t>
            </w:r>
          </w:p>
        </w:tc>
        <w:tc>
          <w:tcPr/>
          <w:p>
            <w:pPr>
              <w:pStyle w:val="Compact"/>
              <w:bidi/>
              <w:jc w:val="left"/>
            </w:pPr>
            <w:r>
              <w:rPr>
                <w:b/>
                <w:bCs/>
                <w:rtl/>
              </w:rPr>
              <w:t xml:space="preserve">الحوار الوطني والعدالة الانتقالية</w:t>
            </w:r>
          </w:p>
        </w:tc>
        <w:tc>
          <w:tcPr/>
          <w:p>
            <w:pPr>
              <w:pStyle w:val="Compact"/>
              <w:bidi/>
              <w:jc w:val="left"/>
            </w:pPr>
            <w:r>
              <w:rPr>
                <w:rtl/>
              </w:rPr>
              <w:t xml:space="preserve">ميثاق وطني مُقرّ خلال 12 شهراً من انطلاق الحوار؛ بدء المحاكمات</w:t>
            </w:r>
          </w:p>
        </w:tc>
      </w:tr>
      <w:tr>
        <w:tc>
          <w:tcPr/>
          <w:p>
            <w:pPr>
              <w:pStyle w:val="Compact"/>
              <w:bidi/>
              <w:jc w:val="left"/>
            </w:pPr>
            <w:r>
              <w:rPr>
                <w:rtl/>
              </w:rPr>
              <w:t xml:space="preserve">5</w:t>
            </w:r>
          </w:p>
        </w:tc>
        <w:tc>
          <w:tcPr/>
          <w:p>
            <w:pPr>
              <w:pStyle w:val="Compact"/>
              <w:bidi/>
              <w:jc w:val="left"/>
            </w:pPr>
            <w:r>
              <w:rPr>
                <w:b/>
                <w:bCs/>
                <w:rtl/>
              </w:rPr>
              <w:t xml:space="preserve">العودة والإعمار</w:t>
            </w:r>
          </w:p>
        </w:tc>
        <w:tc>
          <w:tcPr/>
          <w:p>
            <w:pPr>
              <w:pStyle w:val="Compact"/>
              <w:bidi/>
              <w:jc w:val="left"/>
            </w:pPr>
            <w:r>
              <w:rPr>
                <w:rtl/>
              </w:rPr>
              <w:t xml:space="preserve">عودة أو اندماج مستقر لـ50% من النازحين؛ عودة طوعية لـ40% من اللاجئين</w:t>
            </w:r>
          </w:p>
        </w:tc>
      </w:tr>
      <w:tr>
        <w:tc>
          <w:tcPr/>
          <w:p>
            <w:pPr>
              <w:pStyle w:val="Compact"/>
              <w:bidi/>
              <w:jc w:val="left"/>
            </w:pPr>
            <w:r>
              <w:rPr>
                <w:rtl/>
              </w:rPr>
              <w:t xml:space="preserve">6</w:t>
            </w:r>
          </w:p>
        </w:tc>
        <w:tc>
          <w:tcPr/>
          <w:p>
            <w:pPr>
              <w:pStyle w:val="Compact"/>
              <w:bidi/>
              <w:jc w:val="left"/>
            </w:pPr>
            <w:r>
              <w:rPr>
                <w:b/>
                <w:bCs/>
                <w:rtl/>
              </w:rPr>
              <w:t xml:space="preserve">الخدمات الأساسية</w:t>
            </w:r>
          </w:p>
        </w:tc>
        <w:tc>
          <w:tcPr/>
          <w:p>
            <w:pPr>
              <w:pStyle w:val="Compact"/>
              <w:bidi/>
              <w:jc w:val="left"/>
            </w:pPr>
            <w:r>
              <w:rPr>
                <w:rtl/>
              </w:rPr>
              <w:t xml:space="preserve">خفض عدد الأطفال خارج المدرسة 70%؛ 70% من السكان على بعد 20 كم من مرفق صحي عامل؛ 70% يصلون إلى مياه شرب آمنة</w:t>
            </w:r>
          </w:p>
        </w:tc>
      </w:tr>
      <w:tr>
        <w:tc>
          <w:tcPr/>
          <w:p>
            <w:pPr>
              <w:pStyle w:val="Compact"/>
              <w:bidi/>
              <w:jc w:val="left"/>
            </w:pPr>
            <w:r>
              <w:rPr>
                <w:rtl/>
              </w:rPr>
              <w:t xml:space="preserve">7</w:t>
            </w:r>
          </w:p>
        </w:tc>
        <w:tc>
          <w:tcPr/>
          <w:p>
            <w:pPr>
              <w:pStyle w:val="Compact"/>
              <w:bidi/>
              <w:jc w:val="left"/>
            </w:pPr>
            <w:r>
              <w:rPr>
                <w:b/>
                <w:bCs/>
                <w:rtl/>
              </w:rPr>
              <w:t xml:space="preserve">إنعاش الاقتصاد وإصلاح المالية العامة</w:t>
            </w:r>
          </w:p>
        </w:tc>
        <w:tc>
          <w:tcPr/>
          <w:p>
            <w:pPr>
              <w:pStyle w:val="Compact"/>
              <w:bidi/>
              <w:jc w:val="left"/>
            </w:pPr>
            <w:r>
              <w:rPr>
                <w:rtl/>
              </w:rPr>
              <w:t xml:space="preserve">الإيرادات العامة 9.5% من الناتج؛ 75% من الذهب في القنوات الرسمية؛ استئناف مسار إعفاء الديون</w:t>
            </w:r>
          </w:p>
        </w:tc>
      </w:tr>
      <w:tr>
        <w:tc>
          <w:tcPr/>
          <w:p>
            <w:pPr>
              <w:pStyle w:val="Compact"/>
              <w:bidi/>
              <w:jc w:val="left"/>
            </w:pPr>
            <w:r>
              <w:rPr>
                <w:rtl/>
              </w:rPr>
              <w:t xml:space="preserve">8</w:t>
            </w:r>
          </w:p>
        </w:tc>
        <w:tc>
          <w:tcPr/>
          <w:p>
            <w:pPr>
              <w:pStyle w:val="Compact"/>
              <w:bidi/>
              <w:jc w:val="left"/>
            </w:pPr>
            <w:r>
              <w:rPr>
                <w:b/>
                <w:bCs/>
                <w:rtl/>
              </w:rPr>
              <w:t xml:space="preserve">الدستور الدائم والانتخابات وتسليم السلطة</w:t>
            </w:r>
          </w:p>
        </w:tc>
        <w:tc>
          <w:tcPr/>
          <w:p>
            <w:pPr>
              <w:pStyle w:val="Compact"/>
              <w:bidi/>
              <w:jc w:val="left"/>
            </w:pPr>
            <w:r>
              <w:rPr>
                <w:rtl/>
              </w:rPr>
              <w:t xml:space="preserve">استفتاء دستوري؛ انتخابات عامة في موعدها؛ تسليم السلطة خلال 30 يوماً من النتائج</w:t>
            </w:r>
          </w:p>
        </w:tc>
      </w:tr>
    </w:tbl>
    <w:p>
      <w:pPr>
        <w:pStyle w:val="BodyText"/>
        <w:bidi/>
      </w:pPr>
      <w:r>
        <w:rPr>
          <w:b/>
          <w:bCs/>
          <w:rtl/>
        </w:rPr>
        <w:t xml:space="preserve">وتعريف كل مؤشر، وخط أساسه، ومصدر بياناته، والجهة التي تقيسه، في الملحق الثالث (قاموس المؤشرات).</w:t>
      </w:r>
      <w:r>
        <w:rPr>
          <w:rtl/>
        </w:rPr>
        <w:t xml:space="preserve"> </w:t>
      </w:r>
      <w:r>
        <w:rPr>
          <w:rtl/>
        </w:rPr>
        <w:t xml:space="preserve">وحيث لا يتوفر خط أساس موثوق اليوم، يُحدَّد في المسح الأولي خلال الأشهر الستة الأولى، وتُراجع الأهداف الرقمية على ضوئه بقرار معلن من الجمعية التأسيسية.</w:t>
      </w:r>
    </w:p>
    <w:p>
      <w:pPr>
        <w:bidi/>
      </w:pPr>
      <w:r>
        <w:rPr>
          <w:rtl/>
        </w:rPr>
        <w:br w:type="page"/>
      </w:r>
    </w:p>
    <w:bookmarkEnd w:id="22"/>
    <w:bookmarkStart w:id="23" w:name="ثالثا-أربعة-سيناريوهات"/>
    <w:p>
      <w:pPr>
        <w:pStyle w:val="Heading1"/>
        <w:bidi/>
      </w:pPr>
      <w:r>
        <w:rPr>
          <w:rtl/>
        </w:rPr>
        <w:t xml:space="preserve">ثالثاً: أربعة سيناريوهات</w:t>
      </w:r>
    </w:p>
    <w:p>
      <w:pPr>
        <w:pStyle w:val="FirstParagraph"/>
        <w:bidi/>
      </w:pPr>
      <w:r>
        <w:rPr>
          <w:rtl/>
        </w:rPr>
        <w:t xml:space="preserve">إن الواقع السوداني لن يكون ثنائياً بين حرب وسلام. لذلك يعمل البرنامج بأربعة سيناريوهات، ويُحدَّد السيناريو السائد كل ثلاثة أشهر في مجلس الأمن والدفاع الوطني، ويُعلن:</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السيناريو</w:t>
            </w:r>
          </w:p>
        </w:tc>
        <w:tc>
          <w:tcPr/>
          <w:p>
            <w:pPr>
              <w:pStyle w:val="Compact"/>
              <w:bidi/>
              <w:jc w:val="left"/>
            </w:pPr>
            <w:r>
              <w:rPr>
                <w:rtl/>
              </w:rPr>
              <w:t xml:space="preserve">وصفه</w:t>
            </w:r>
          </w:p>
        </w:tc>
        <w:tc>
          <w:tcPr/>
          <w:p>
            <w:pPr>
              <w:pStyle w:val="Compact"/>
              <w:bidi/>
              <w:jc w:val="left"/>
            </w:pPr>
            <w:r>
              <w:rPr>
                <w:rtl/>
              </w:rPr>
              <w:t xml:space="preserve">علامته</w:t>
            </w:r>
          </w:p>
        </w:tc>
        <w:tc>
          <w:tcPr/>
          <w:p>
            <w:pPr>
              <w:pStyle w:val="Compact"/>
              <w:bidi/>
              <w:jc w:val="left"/>
            </w:pPr>
            <w:r>
              <w:rPr>
                <w:rtl/>
              </w:rPr>
              <w:t xml:space="preserve">ما يتغير في البرنامج</w:t>
            </w:r>
          </w:p>
        </w:tc>
      </w:tr>
      <w:tr>
        <w:tc>
          <w:tcPr/>
          <w:p>
            <w:pPr>
              <w:pStyle w:val="Compact"/>
              <w:bidi/>
              <w:jc w:val="left"/>
            </w:pPr>
            <w:r>
              <w:rPr>
                <w:b/>
                <w:bCs/>
                <w:rtl/>
              </w:rPr>
              <w:t xml:space="preserve">السلام الشامل</w:t>
            </w:r>
          </w:p>
        </w:tc>
        <w:tc>
          <w:tcPr/>
          <w:p>
            <w:pPr>
              <w:pStyle w:val="Compact"/>
              <w:bidi/>
              <w:jc w:val="left"/>
            </w:pPr>
            <w:r>
              <w:rPr>
                <w:rtl/>
              </w:rPr>
              <w:t xml:space="preserve">وقف شامل لإطلاق النار واتفاق مستقر</w:t>
            </w:r>
          </w:p>
        </w:tc>
        <w:tc>
          <w:tcPr/>
          <w:p>
            <w:pPr>
              <w:pStyle w:val="Compact"/>
              <w:bidi/>
              <w:jc w:val="left"/>
            </w:pPr>
            <w:r>
              <w:rPr>
                <w:rtl/>
              </w:rPr>
              <w:t xml:space="preserve">لا قتال منظم لثلاثة أشهر متتالية؛ فتح كل الطرق الرئيسية</w:t>
            </w:r>
          </w:p>
        </w:tc>
        <w:tc>
          <w:tcPr/>
          <w:p>
            <w:pPr>
              <w:pStyle w:val="Compact"/>
              <w:bidi/>
              <w:jc w:val="left"/>
            </w:pPr>
            <w:r>
              <w:rPr>
                <w:rtl/>
              </w:rPr>
              <w:t xml:space="preserve">تسريع العودة والإعمار في كل الأقاليم؛ الانتخابات في الشهر 30</w:t>
            </w:r>
          </w:p>
        </w:tc>
      </w:tr>
      <w:tr>
        <w:tc>
          <w:tcPr/>
          <w:p>
            <w:pPr>
              <w:pStyle w:val="Compact"/>
              <w:bidi/>
              <w:jc w:val="left"/>
            </w:pPr>
            <w:r>
              <w:rPr>
                <w:b/>
                <w:bCs/>
                <w:rtl/>
              </w:rPr>
              <w:t xml:space="preserve">المسار الأساسي</w:t>
            </w:r>
          </w:p>
        </w:tc>
        <w:tc>
          <w:tcPr/>
          <w:p>
            <w:pPr>
              <w:pStyle w:val="Compact"/>
              <w:bidi/>
              <w:jc w:val="left"/>
            </w:pPr>
            <w:r>
              <w:rPr>
                <w:rtl/>
              </w:rPr>
              <w:t xml:space="preserve">وقف نار هش مع حوادث متفرقة</w:t>
            </w:r>
          </w:p>
        </w:tc>
        <w:tc>
          <w:tcPr/>
          <w:p>
            <w:pPr>
              <w:pStyle w:val="Compact"/>
              <w:bidi/>
              <w:jc w:val="left"/>
            </w:pPr>
            <w:r>
              <w:rPr>
                <w:rtl/>
              </w:rPr>
              <w:t xml:space="preserve">تراجع كبير في المعارك؛ خروقات محدودة</w:t>
            </w:r>
          </w:p>
        </w:tc>
        <w:tc>
          <w:tcPr/>
          <w:p>
            <w:pPr>
              <w:pStyle w:val="Compact"/>
              <w:bidi/>
              <w:jc w:val="left"/>
            </w:pPr>
            <w:r>
              <w:rPr>
                <w:rtl/>
              </w:rPr>
              <w:t xml:space="preserve">البرنامج كما هو؛ أولوية لآليات المراقبة؛ الانتخابات في الشهر 30</w:t>
            </w:r>
          </w:p>
        </w:tc>
      </w:tr>
      <w:tr>
        <w:tc>
          <w:tcPr/>
          <w:p>
            <w:pPr>
              <w:pStyle w:val="Compact"/>
              <w:bidi/>
              <w:jc w:val="left"/>
            </w:pPr>
            <w:r>
              <w:rPr>
                <w:b/>
                <w:bCs/>
                <w:rtl/>
              </w:rPr>
              <w:t xml:space="preserve">السلام الجزئي</w:t>
            </w:r>
          </w:p>
        </w:tc>
        <w:tc>
          <w:tcPr/>
          <w:p>
            <w:pPr>
              <w:pStyle w:val="Compact"/>
              <w:bidi/>
              <w:jc w:val="left"/>
            </w:pPr>
            <w:r>
              <w:rPr>
                <w:rtl/>
              </w:rPr>
              <w:t xml:space="preserve">سلام في أغلب البلاد وقتال في مناطق محددة</w:t>
            </w:r>
          </w:p>
        </w:tc>
        <w:tc>
          <w:tcPr/>
          <w:p>
            <w:pPr>
              <w:pStyle w:val="Compact"/>
              <w:bidi/>
              <w:jc w:val="left"/>
            </w:pPr>
            <w:r>
              <w:rPr>
                <w:rtl/>
              </w:rPr>
              <w:t xml:space="preserve">استقرار في ستة أقاليم أو أكثر من التسعة</w:t>
            </w:r>
          </w:p>
        </w:tc>
        <w:tc>
          <w:tcPr/>
          <w:p>
            <w:pPr>
              <w:pStyle w:val="Compact"/>
              <w:bidi/>
              <w:jc w:val="left"/>
            </w:pPr>
            <w:r>
              <w:rPr>
                <w:rtl/>
              </w:rPr>
              <w:t xml:space="preserve">تنفيذ كامل في المناطق المستقرة؛ خطط طوارئ للمناطق الأخرى؛ الانتخابات في موعدها حيث أمكن، وتُستكمل الدوائر المتعذرة خلال ستة أشهر</w:t>
            </w:r>
          </w:p>
        </w:tc>
      </w:tr>
      <w:tr>
        <w:tc>
          <w:tcPr/>
          <w:p>
            <w:pPr>
              <w:pStyle w:val="Compact"/>
              <w:bidi/>
              <w:jc w:val="left"/>
            </w:pPr>
            <w:r>
              <w:rPr>
                <w:b/>
                <w:bCs/>
                <w:rtl/>
              </w:rPr>
              <w:t xml:space="preserve">الحرب المستمرة</w:t>
            </w:r>
          </w:p>
        </w:tc>
        <w:tc>
          <w:tcPr/>
          <w:p>
            <w:pPr>
              <w:pStyle w:val="Compact"/>
              <w:bidi/>
              <w:jc w:val="left"/>
            </w:pPr>
            <w:r>
              <w:rPr>
                <w:rtl/>
              </w:rPr>
              <w:t xml:space="preserve">فشل وقف النار واستمرار المعارك الكبرى</w:t>
            </w:r>
          </w:p>
        </w:tc>
        <w:tc>
          <w:tcPr/>
          <w:p>
            <w:pPr>
              <w:pStyle w:val="Compact"/>
              <w:bidi/>
              <w:jc w:val="left"/>
            </w:pPr>
            <w:r>
              <w:rPr>
                <w:rtl/>
              </w:rPr>
              <w:t xml:space="preserve">قتال منظم في أكثر من إقليم؛ حصارات</w:t>
            </w:r>
          </w:p>
        </w:tc>
        <w:tc>
          <w:tcPr/>
          <w:p>
            <w:pPr>
              <w:pStyle w:val="Compact"/>
              <w:bidi/>
              <w:jc w:val="left"/>
            </w:pPr>
            <w:r>
              <w:rPr>
                <w:rtl/>
              </w:rPr>
              <w:t xml:space="preserve">أولوية للإغاثة وحماية المدنيين؛ حكم مدني وخدمات وإعمار في المناطق الآمنة؛ مواصلة التحضير للانتخابات؛ تقرير علني للجمعية كل شهر</w:t>
            </w:r>
          </w:p>
        </w:tc>
      </w:tr>
    </w:tbl>
    <w:p>
      <w:pPr>
        <w:bidi/>
      </w:pPr>
      <w:r>
        <w:rPr>
          <w:rtl/>
        </w:rPr>
        <w:br w:type="page"/>
      </w:r>
    </w:p>
    <w:bookmarkEnd w:id="23"/>
    <w:bookmarkStart w:id="24" w:name="رابعا-تشكيل-الحكومة"/>
    <w:p>
      <w:pPr>
        <w:pStyle w:val="Heading1"/>
        <w:bidi/>
      </w:pPr>
      <w:r>
        <w:rPr>
          <w:rtl/>
        </w:rPr>
        <w:t xml:space="preserve">رابعاً: تشكيل الحكومة</w:t>
      </w:r>
    </w:p>
    <w:p>
      <w:pPr>
        <w:pStyle w:val="FirstParagraph"/>
        <w:bidi/>
      </w:pPr>
      <w:r>
        <w:rPr>
          <w:rtl/>
        </w:rPr>
        <w:t xml:space="preserve">تتكون حكومة التعافي الوطني من رئيس للوزراء ونائب له، وأربع عشرة وزارة، في حدود السقف الدستوري البالغ ست عشرة وزارة.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w:t>
            </w:r>
          </w:p>
        </w:tc>
        <w:tc>
          <w:tcPr/>
          <w:p>
            <w:pPr>
              <w:pStyle w:val="Compact"/>
              <w:bidi/>
              <w:jc w:val="left"/>
            </w:pPr>
            <w:r>
              <w:rPr>
                <w:rtl/>
              </w:rPr>
              <w:t xml:space="preserve">الوزارة</w:t>
            </w:r>
          </w:p>
        </w:tc>
        <w:tc>
          <w:tcPr/>
          <w:p>
            <w:pPr>
              <w:pStyle w:val="Compact"/>
              <w:bidi/>
              <w:jc w:val="left"/>
            </w:pPr>
            <w:r>
              <w:rPr>
                <w:rtl/>
              </w:rPr>
              <w:t xml:space="preserve">المهام الرئيسية في الانتقال</w:t>
            </w:r>
          </w:p>
        </w:tc>
      </w:tr>
      <w:tr>
        <w:tc>
          <w:tcPr/>
          <w:p>
            <w:pPr>
              <w:pStyle w:val="Compact"/>
              <w:bidi/>
              <w:jc w:val="left"/>
            </w:pPr>
            <w:r>
              <w:rPr>
                <w:rtl/>
              </w:rPr>
              <w:t xml:space="preserve">1</w:t>
            </w:r>
          </w:p>
        </w:tc>
        <w:tc>
          <w:tcPr/>
          <w:p>
            <w:pPr>
              <w:pStyle w:val="Compact"/>
              <w:bidi/>
              <w:jc w:val="left"/>
            </w:pPr>
            <w:r>
              <w:rPr>
                <w:b/>
                <w:bCs/>
                <w:rtl/>
              </w:rPr>
              <w:t xml:space="preserve">رئاسة الوزراء</w:t>
            </w:r>
          </w:p>
        </w:tc>
        <w:tc>
          <w:tcPr/>
          <w:p>
            <w:pPr>
              <w:pStyle w:val="Compact"/>
              <w:bidi/>
              <w:jc w:val="left"/>
            </w:pPr>
            <w:r>
              <w:rPr>
                <w:rtl/>
              </w:rPr>
              <w:t xml:space="preserve">القيادة والتنسيق، ومجلس الحكام، والعلاقة مع مجلس السيادة والجمعية التأسيسية</w:t>
            </w:r>
          </w:p>
        </w:tc>
      </w:tr>
      <w:tr>
        <w:tc>
          <w:tcPr/>
          <w:p>
            <w:pPr>
              <w:pStyle w:val="Compact"/>
              <w:bidi/>
              <w:jc w:val="left"/>
            </w:pPr>
            <w:r>
              <w:rPr>
                <w:rtl/>
              </w:rPr>
              <w:t xml:space="preserve">2</w:t>
            </w:r>
          </w:p>
        </w:tc>
        <w:tc>
          <w:tcPr/>
          <w:p>
            <w:pPr>
              <w:pStyle w:val="Compact"/>
              <w:bidi/>
              <w:jc w:val="left"/>
            </w:pPr>
            <w:r>
              <w:rPr>
                <w:b/>
                <w:bCs/>
                <w:rtl/>
              </w:rPr>
              <w:t xml:space="preserve">نائب رئيس الوزراء</w:t>
            </w:r>
          </w:p>
        </w:tc>
        <w:tc>
          <w:tcPr/>
          <w:p>
            <w:pPr>
              <w:pStyle w:val="Compact"/>
              <w:bidi/>
              <w:jc w:val="left"/>
            </w:pPr>
            <w:r>
              <w:rPr>
                <w:rtl/>
              </w:rPr>
              <w:t xml:space="preserve">الحوار المجتمعي، والمصالحات، والعلاقة مع القوى السياسية والمدنية</w:t>
            </w:r>
          </w:p>
        </w:tc>
      </w:tr>
      <w:tr>
        <w:tc>
          <w:tcPr/>
          <w:p>
            <w:pPr>
              <w:pStyle w:val="Compact"/>
              <w:bidi/>
              <w:jc w:val="left"/>
            </w:pPr>
            <w:r>
              <w:rPr>
                <w:rtl/>
              </w:rPr>
              <w:t xml:space="preserve">3</w:t>
            </w:r>
          </w:p>
        </w:tc>
        <w:tc>
          <w:tcPr/>
          <w:p>
            <w:pPr>
              <w:pStyle w:val="Compact"/>
              <w:bidi/>
              <w:jc w:val="left"/>
            </w:pPr>
            <w:r>
              <w:rPr>
                <w:b/>
                <w:bCs/>
                <w:rtl/>
              </w:rPr>
              <w:t xml:space="preserve">الإصلاح المؤسسي</w:t>
            </w:r>
          </w:p>
        </w:tc>
        <w:tc>
          <w:tcPr/>
          <w:p>
            <w:pPr>
              <w:pStyle w:val="Compact"/>
              <w:bidi/>
              <w:jc w:val="left"/>
            </w:pPr>
            <w:r>
              <w:rPr>
                <w:rtl/>
              </w:rPr>
              <w:t xml:space="preserve">إعادة هيكلة أجهزة الدولة، وسد ثغرات الفساد الإداري، وتقييم الأداء</w:t>
            </w:r>
          </w:p>
        </w:tc>
      </w:tr>
      <w:tr>
        <w:tc>
          <w:tcPr/>
          <w:p>
            <w:pPr>
              <w:pStyle w:val="Compact"/>
              <w:bidi/>
              <w:jc w:val="left"/>
            </w:pPr>
            <w:r>
              <w:rPr>
                <w:rtl/>
              </w:rPr>
              <w:t xml:space="preserve">4</w:t>
            </w:r>
          </w:p>
        </w:tc>
        <w:tc>
          <w:tcPr/>
          <w:p>
            <w:pPr>
              <w:pStyle w:val="Compact"/>
              <w:bidi/>
              <w:jc w:val="left"/>
            </w:pPr>
            <w:r>
              <w:rPr>
                <w:b/>
                <w:bCs/>
                <w:rtl/>
              </w:rPr>
              <w:t xml:space="preserve">الخارجية والتعاون الدولي والمهجر</w:t>
            </w:r>
          </w:p>
        </w:tc>
        <w:tc>
          <w:tcPr/>
          <w:p>
            <w:pPr>
              <w:pStyle w:val="Compact"/>
              <w:bidi/>
              <w:jc w:val="left"/>
            </w:pPr>
            <w:r>
              <w:rPr>
                <w:rtl/>
              </w:rPr>
              <w:t xml:space="preserve">حشد الدعم للسلام والإعمار، ومسار إعفاء الديون، وخدمة السودانيين في الخارج</w:t>
            </w:r>
          </w:p>
        </w:tc>
      </w:tr>
      <w:tr>
        <w:tc>
          <w:tcPr/>
          <w:p>
            <w:pPr>
              <w:pStyle w:val="Compact"/>
              <w:bidi/>
              <w:jc w:val="left"/>
            </w:pPr>
            <w:r>
              <w:rPr>
                <w:rtl/>
              </w:rPr>
              <w:t xml:space="preserve">5</w:t>
            </w:r>
          </w:p>
        </w:tc>
        <w:tc>
          <w:tcPr/>
          <w:p>
            <w:pPr>
              <w:pStyle w:val="Compact"/>
              <w:bidi/>
              <w:jc w:val="left"/>
            </w:pPr>
            <w:r>
              <w:rPr>
                <w:b/>
                <w:bCs/>
                <w:rtl/>
              </w:rPr>
              <w:t xml:space="preserve">الدفاع</w:t>
            </w:r>
            <w:r>
              <w:rPr>
                <w:rtl/>
              </w:rPr>
              <w:t xml:space="preserve"> </w:t>
            </w:r>
            <w:r>
              <w:rPr>
                <w:rtl/>
              </w:rPr>
              <w:t xml:space="preserve">(بوزير مدني)</w:t>
            </w:r>
          </w:p>
        </w:tc>
        <w:tc>
          <w:tcPr/>
          <w:p>
            <w:pPr>
              <w:pStyle w:val="Compact"/>
              <w:bidi/>
              <w:jc w:val="left"/>
            </w:pPr>
            <w:r>
              <w:rPr>
                <w:rtl/>
              </w:rPr>
              <w:t xml:space="preserve">الإشراف على القوات المسلحة، والدمج والتسريح، وإعادة الهيكلة</w:t>
            </w:r>
          </w:p>
        </w:tc>
      </w:tr>
      <w:tr>
        <w:tc>
          <w:tcPr/>
          <w:p>
            <w:pPr>
              <w:pStyle w:val="Compact"/>
              <w:bidi/>
              <w:jc w:val="left"/>
            </w:pPr>
            <w:r>
              <w:rPr>
                <w:rtl/>
              </w:rPr>
              <w:t xml:space="preserve">6</w:t>
            </w:r>
          </w:p>
        </w:tc>
        <w:tc>
          <w:tcPr/>
          <w:p>
            <w:pPr>
              <w:pStyle w:val="Compact"/>
              <w:bidi/>
              <w:jc w:val="left"/>
            </w:pPr>
            <w:r>
              <w:rPr>
                <w:b/>
                <w:bCs/>
                <w:rtl/>
              </w:rPr>
              <w:t xml:space="preserve">الداخلية والحكم المحلي</w:t>
            </w:r>
          </w:p>
        </w:tc>
        <w:tc>
          <w:tcPr/>
          <w:p>
            <w:pPr>
              <w:pStyle w:val="Compact"/>
              <w:bidi/>
              <w:jc w:val="left"/>
            </w:pPr>
            <w:r>
              <w:rPr>
                <w:rtl/>
              </w:rPr>
              <w:t xml:space="preserve">الأمن الداخلي والشرطة، والسجل المدني، والانتقال إلى الأقاليم</w:t>
            </w:r>
          </w:p>
        </w:tc>
      </w:tr>
      <w:tr>
        <w:tc>
          <w:tcPr/>
          <w:p>
            <w:pPr>
              <w:pStyle w:val="Compact"/>
              <w:bidi/>
              <w:jc w:val="left"/>
            </w:pPr>
            <w:r>
              <w:rPr>
                <w:rtl/>
              </w:rPr>
              <w:t xml:space="preserve">7</w:t>
            </w:r>
          </w:p>
        </w:tc>
        <w:tc>
          <w:tcPr/>
          <w:p>
            <w:pPr>
              <w:pStyle w:val="Compact"/>
              <w:bidi/>
              <w:jc w:val="left"/>
            </w:pPr>
            <w:r>
              <w:rPr>
                <w:b/>
                <w:bCs/>
                <w:rtl/>
              </w:rPr>
              <w:t xml:space="preserve">العدل والإصلاح القانوني</w:t>
            </w:r>
          </w:p>
        </w:tc>
        <w:tc>
          <w:tcPr/>
          <w:p>
            <w:pPr>
              <w:pStyle w:val="Compact"/>
              <w:bidi/>
              <w:jc w:val="left"/>
            </w:pPr>
            <w:r>
              <w:rPr>
                <w:rtl/>
              </w:rPr>
              <w:t xml:space="preserve">إعداد القوانين، وإصلاح المنظومة القانونية</w:t>
            </w:r>
          </w:p>
        </w:tc>
      </w:tr>
      <w:tr>
        <w:tc>
          <w:tcPr/>
          <w:p>
            <w:pPr>
              <w:pStyle w:val="Compact"/>
              <w:bidi/>
              <w:jc w:val="left"/>
            </w:pPr>
            <w:r>
              <w:rPr>
                <w:rtl/>
              </w:rPr>
              <w:t xml:space="preserve">8</w:t>
            </w:r>
          </w:p>
        </w:tc>
        <w:tc>
          <w:tcPr/>
          <w:p>
            <w:pPr>
              <w:pStyle w:val="Compact"/>
              <w:bidi/>
              <w:jc w:val="left"/>
            </w:pPr>
            <w:r>
              <w:rPr>
                <w:b/>
                <w:bCs/>
                <w:rtl/>
              </w:rPr>
              <w:t xml:space="preserve">المالية</w:t>
            </w:r>
          </w:p>
        </w:tc>
        <w:tc>
          <w:tcPr/>
          <w:p>
            <w:pPr>
              <w:pStyle w:val="Compact"/>
              <w:bidi/>
              <w:jc w:val="left"/>
            </w:pPr>
            <w:r>
              <w:rPr>
                <w:rtl/>
              </w:rPr>
              <w:t xml:space="preserve">الموازنة، والإيرادات، وإدارة الدين</w:t>
            </w:r>
          </w:p>
        </w:tc>
      </w:tr>
      <w:tr>
        <w:tc>
          <w:tcPr/>
          <w:p>
            <w:pPr>
              <w:pStyle w:val="Compact"/>
              <w:bidi/>
              <w:jc w:val="left"/>
            </w:pPr>
            <w:r>
              <w:rPr>
                <w:rtl/>
              </w:rPr>
              <w:t xml:space="preserve">9</w:t>
            </w:r>
          </w:p>
        </w:tc>
        <w:tc>
          <w:tcPr/>
          <w:p>
            <w:pPr>
              <w:pStyle w:val="Compact"/>
              <w:bidi/>
              <w:jc w:val="left"/>
            </w:pPr>
            <w:r>
              <w:rPr>
                <w:b/>
                <w:bCs/>
                <w:rtl/>
              </w:rPr>
              <w:t xml:space="preserve">الاقتصاد والاستثمار وممتلكات الدولة</w:t>
            </w:r>
          </w:p>
        </w:tc>
        <w:tc>
          <w:tcPr/>
          <w:p>
            <w:pPr>
              <w:pStyle w:val="Compact"/>
              <w:bidi/>
              <w:jc w:val="left"/>
            </w:pPr>
            <w:r>
              <w:rPr>
                <w:rtl/>
              </w:rPr>
              <w:t xml:space="preserve">الإنعاش الاقتصادي، واستلام شركات الأجهزة النظامية، والاستثمار، والتجارة</w:t>
            </w:r>
          </w:p>
        </w:tc>
      </w:tr>
      <w:tr>
        <w:tc>
          <w:tcPr/>
          <w:p>
            <w:pPr>
              <w:pStyle w:val="Compact"/>
              <w:bidi/>
              <w:jc w:val="left"/>
            </w:pPr>
            <w:r>
              <w:rPr>
                <w:rtl/>
              </w:rPr>
              <w:t xml:space="preserve">10</w:t>
            </w:r>
          </w:p>
        </w:tc>
        <w:tc>
          <w:tcPr/>
          <w:p>
            <w:pPr>
              <w:pStyle w:val="Compact"/>
              <w:bidi/>
              <w:jc w:val="left"/>
            </w:pPr>
            <w:r>
              <w:rPr>
                <w:b/>
                <w:bCs/>
                <w:rtl/>
              </w:rPr>
              <w:t xml:space="preserve">الطاقة والصناعة والتعدين</w:t>
            </w:r>
          </w:p>
        </w:tc>
        <w:tc>
          <w:tcPr/>
          <w:p>
            <w:pPr>
              <w:pStyle w:val="Compact"/>
              <w:bidi/>
              <w:jc w:val="left"/>
            </w:pPr>
            <w:r>
              <w:rPr>
                <w:rtl/>
              </w:rPr>
              <w:t xml:space="preserve">الكهرباء، والمصانع، والتعدين والذهب</w:t>
            </w:r>
          </w:p>
        </w:tc>
      </w:tr>
      <w:tr>
        <w:tc>
          <w:tcPr/>
          <w:p>
            <w:pPr>
              <w:pStyle w:val="Compact"/>
              <w:bidi/>
              <w:jc w:val="left"/>
            </w:pPr>
            <w:r>
              <w:rPr>
                <w:rtl/>
              </w:rPr>
              <w:t xml:space="preserve">11</w:t>
            </w:r>
          </w:p>
        </w:tc>
        <w:tc>
          <w:tcPr/>
          <w:p>
            <w:pPr>
              <w:pStyle w:val="Compact"/>
              <w:bidi/>
              <w:jc w:val="left"/>
            </w:pPr>
            <w:r>
              <w:rPr>
                <w:b/>
                <w:bCs/>
                <w:rtl/>
              </w:rPr>
              <w:t xml:space="preserve">الزراعة والثروة الحيوانية والمياه</w:t>
            </w:r>
          </w:p>
        </w:tc>
        <w:tc>
          <w:tcPr/>
          <w:p>
            <w:pPr>
              <w:pStyle w:val="Compact"/>
              <w:bidi/>
              <w:jc w:val="left"/>
            </w:pPr>
            <w:r>
              <w:rPr>
                <w:rtl/>
              </w:rPr>
              <w:t xml:space="preserve">المواسم الزراعية، والمخزون الغذائي، والمراعي، ومياه الشرب</w:t>
            </w:r>
          </w:p>
        </w:tc>
      </w:tr>
      <w:tr>
        <w:tc>
          <w:tcPr/>
          <w:p>
            <w:pPr>
              <w:pStyle w:val="Compact"/>
              <w:bidi/>
              <w:jc w:val="left"/>
            </w:pPr>
            <w:r>
              <w:rPr>
                <w:rtl/>
              </w:rPr>
              <w:t xml:space="preserve">12</w:t>
            </w:r>
          </w:p>
        </w:tc>
        <w:tc>
          <w:tcPr/>
          <w:p>
            <w:pPr>
              <w:pStyle w:val="Compact"/>
              <w:bidi/>
              <w:jc w:val="left"/>
            </w:pPr>
            <w:r>
              <w:rPr>
                <w:b/>
                <w:bCs/>
                <w:rtl/>
              </w:rPr>
              <w:t xml:space="preserve">التعليم والبحث العلمي</w:t>
            </w:r>
          </w:p>
        </w:tc>
        <w:tc>
          <w:tcPr/>
          <w:p>
            <w:pPr>
              <w:pStyle w:val="Compact"/>
              <w:bidi/>
              <w:jc w:val="left"/>
            </w:pPr>
            <w:r>
              <w:rPr>
                <w:rtl/>
              </w:rPr>
              <w:t xml:space="preserve">«لا جيل ضائع»، والمدارس، ورواتب المعلمين، والجامعات</w:t>
            </w:r>
          </w:p>
        </w:tc>
      </w:tr>
      <w:tr>
        <w:tc>
          <w:tcPr/>
          <w:p>
            <w:pPr>
              <w:pStyle w:val="Compact"/>
              <w:bidi/>
              <w:jc w:val="left"/>
            </w:pPr>
            <w:r>
              <w:rPr>
                <w:rtl/>
              </w:rPr>
              <w:t xml:space="preserve">13</w:t>
            </w:r>
          </w:p>
        </w:tc>
        <w:tc>
          <w:tcPr/>
          <w:p>
            <w:pPr>
              <w:pStyle w:val="Compact"/>
              <w:bidi/>
              <w:jc w:val="left"/>
            </w:pPr>
            <w:r>
              <w:rPr>
                <w:b/>
                <w:bCs/>
                <w:rtl/>
              </w:rPr>
              <w:t xml:space="preserve">الصحة والتنمية الاجتماعية</w:t>
            </w:r>
          </w:p>
        </w:tc>
        <w:tc>
          <w:tcPr/>
          <w:p>
            <w:pPr>
              <w:pStyle w:val="Compact"/>
              <w:bidi/>
              <w:jc w:val="left"/>
            </w:pPr>
            <w:r>
              <w:rPr>
                <w:rtl/>
              </w:rPr>
              <w:t xml:space="preserve">البرنامج الصحي العاجل، والحماية الاجتماعية، والمرأة والطفل</w:t>
            </w:r>
          </w:p>
        </w:tc>
      </w:tr>
      <w:tr>
        <w:tc>
          <w:tcPr/>
          <w:p>
            <w:pPr>
              <w:pStyle w:val="Compact"/>
              <w:bidi/>
              <w:jc w:val="left"/>
            </w:pPr>
            <w:r>
              <w:rPr>
                <w:rtl/>
              </w:rPr>
              <w:t xml:space="preserve">14</w:t>
            </w:r>
          </w:p>
        </w:tc>
        <w:tc>
          <w:tcPr/>
          <w:p>
            <w:pPr>
              <w:pStyle w:val="Compact"/>
              <w:bidi/>
              <w:jc w:val="left"/>
            </w:pPr>
            <w:r>
              <w:rPr>
                <w:b/>
                <w:bCs/>
                <w:rtl/>
              </w:rPr>
              <w:t xml:space="preserve">البنية التحتية والإسكان والإعمار</w:t>
            </w:r>
          </w:p>
        </w:tc>
        <w:tc>
          <w:tcPr/>
          <w:p>
            <w:pPr>
              <w:pStyle w:val="Compact"/>
              <w:bidi/>
              <w:jc w:val="left"/>
            </w:pPr>
            <w:r>
              <w:rPr>
                <w:rtl/>
              </w:rPr>
              <w:t xml:space="preserve">الطرق والجسور، والإسكان، والإعمار، والعودة</w:t>
            </w:r>
          </w:p>
        </w:tc>
      </w:tr>
      <w:tr>
        <w:tc>
          <w:tcPr/>
          <w:p>
            <w:pPr>
              <w:pStyle w:val="Compact"/>
              <w:bidi/>
              <w:jc w:val="left"/>
            </w:pPr>
            <w:r>
              <w:rPr>
                <w:rtl/>
              </w:rPr>
              <w:t xml:space="preserve">15</w:t>
            </w:r>
          </w:p>
        </w:tc>
        <w:tc>
          <w:tcPr/>
          <w:p>
            <w:pPr>
              <w:pStyle w:val="Compact"/>
              <w:bidi/>
              <w:jc w:val="left"/>
            </w:pPr>
            <w:r>
              <w:rPr>
                <w:b/>
                <w:bCs/>
                <w:rtl/>
              </w:rPr>
              <w:t xml:space="preserve">الثقافة والإعلام</w:t>
            </w:r>
          </w:p>
        </w:tc>
        <w:tc>
          <w:tcPr/>
          <w:p>
            <w:pPr>
              <w:pStyle w:val="Compact"/>
              <w:bidi/>
              <w:jc w:val="left"/>
            </w:pPr>
            <w:r>
              <w:rPr>
                <w:rtl/>
              </w:rPr>
              <w:t xml:space="preserve">هيئة البث العام، وحق الحصول على المعلومات، ومواجهة خطاب الكراهية</w:t>
            </w:r>
          </w:p>
        </w:tc>
      </w:tr>
      <w:tr>
        <w:tc>
          <w:tcPr/>
          <w:p>
            <w:pPr>
              <w:pStyle w:val="Compact"/>
              <w:bidi/>
              <w:jc w:val="left"/>
            </w:pPr>
            <w:r>
              <w:rPr>
                <w:rtl/>
              </w:rPr>
              <w:t xml:space="preserve">16</w:t>
            </w:r>
          </w:p>
        </w:tc>
        <w:tc>
          <w:tcPr/>
          <w:p>
            <w:pPr>
              <w:pStyle w:val="Compact"/>
              <w:bidi/>
              <w:jc w:val="left"/>
            </w:pPr>
            <w:r>
              <w:rPr>
                <w:b/>
                <w:bCs/>
                <w:rtl/>
              </w:rPr>
              <w:t xml:space="preserve">شؤون مجلس الوزراء</w:t>
            </w:r>
          </w:p>
        </w:tc>
        <w:tc>
          <w:tcPr/>
          <w:p>
            <w:pPr>
              <w:pStyle w:val="Compact"/>
              <w:bidi/>
              <w:jc w:val="left"/>
            </w:pPr>
            <w:r>
              <w:rPr>
                <w:rtl/>
              </w:rPr>
              <w:t xml:space="preserve">التنسيق بين الوزارات، ومتابعة القرارات، والأمانة العامة</w:t>
            </w:r>
          </w:p>
        </w:tc>
      </w:tr>
    </w:tbl>
    <w:p>
      <w:pPr>
        <w:pStyle w:val="BodyText"/>
        <w:bidi/>
      </w:pPr>
      <w:r>
        <w:rPr>
          <w:b/>
          <w:bCs/>
          <w:rtl/>
        </w:rPr>
        <w:t xml:space="preserve">ولأن عدداً من الوزارات يجمع ملفات واسعة</w:t>
      </w:r>
      <w:r>
        <w:rPr>
          <w:rtl/>
        </w:rPr>
        <w:t xml:space="preserve">، تعمل تحت كل منها هيئات ووكالات متخصصة بإدارة محترفة وأهداف منشورة، حتى لا تتحول الوزارة إلى جهاز عملاق يصعب إدارته. وتفصيلها في الملحق الرابع (الهيكل المؤسسي).</w:t>
      </w:r>
    </w:p>
    <w:p>
      <w:pPr>
        <w:pStyle w:val="BodyText"/>
        <w:bidi/>
      </w:pPr>
      <w:r>
        <w:rPr>
          <w:b/>
          <w:bCs/>
          <w:rtl/>
        </w:rPr>
        <w:t xml:space="preserve">وداخل رئاسة الوزراء</w:t>
      </w:r>
      <w:r>
        <w:rPr>
          <w:rtl/>
        </w:rPr>
        <w:t xml:space="preserve"> </w:t>
      </w:r>
      <w:r>
        <w:rPr>
          <w:rtl/>
        </w:rPr>
        <w:t xml:space="preserve">أربع وحدات صغيرة: وحدة التنفيذ والمتابعة، ووحدة التشريع، ووحدة التخطيط والبحوث، والناطق الرسمي.</w:t>
      </w:r>
    </w:p>
    <w:p>
      <w:pPr>
        <w:bidi/>
      </w:pPr>
      <w:r>
        <w:rPr>
          <w:rtl/>
        </w:rPr>
        <w:br w:type="page"/>
      </w:r>
    </w:p>
    <w:bookmarkEnd w:id="24"/>
    <w:bookmarkStart w:id="25" w:name="خامسا-الأيام-المئة-الأولى"/>
    <w:p>
      <w:pPr>
        <w:pStyle w:val="Heading1"/>
        <w:bidi/>
      </w:pPr>
      <w:r>
        <w:rPr>
          <w:rtl/>
        </w:rPr>
        <w:t xml:space="preserve">خامساً: الأيام المئة الأولى</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الموعد</w:t>
            </w:r>
          </w:p>
        </w:tc>
        <w:tc>
          <w:tcPr/>
          <w:p>
            <w:pPr>
              <w:pStyle w:val="Compact"/>
              <w:bidi/>
              <w:jc w:val="left"/>
            </w:pPr>
            <w:r>
              <w:rPr>
                <w:rtl/>
              </w:rPr>
              <w:t xml:space="preserve">الإجراء</w:t>
            </w:r>
          </w:p>
        </w:tc>
      </w:tr>
      <w:tr>
        <w:tc>
          <w:tcPr/>
          <w:p>
            <w:pPr>
              <w:pStyle w:val="Compact"/>
              <w:bidi/>
              <w:jc w:val="left"/>
            </w:pPr>
            <w:r>
              <w:rPr>
                <w:b/>
                <w:bCs/>
                <w:rtl/>
              </w:rPr>
              <w:t xml:space="preserve">اليوم 30</w:t>
            </w:r>
          </w:p>
        </w:tc>
        <w:tc>
          <w:tcPr/>
          <w:p>
            <w:pPr>
              <w:pStyle w:val="Compact"/>
              <w:bidi/>
              <w:jc w:val="left"/>
            </w:pPr>
            <w:r>
              <w:rPr>
                <w:rtl/>
              </w:rPr>
              <w:t xml:space="preserve">إجازة تشكيل الحكومة وبرنامجها في الجمعية التأسيسية؛ إعلان الذمة المالية لكل الوزراء ونشر ملخصاتها</w:t>
            </w:r>
          </w:p>
        </w:tc>
      </w:tr>
      <w:tr>
        <w:tc>
          <w:tcPr/>
          <w:p>
            <w:pPr>
              <w:pStyle w:val="Compact"/>
              <w:bidi/>
              <w:jc w:val="left"/>
            </w:pPr>
            <w:r>
              <w:rPr>
                <w:b/>
                <w:bCs/>
                <w:rtl/>
              </w:rPr>
              <w:t xml:space="preserve">اليوم 30</w:t>
            </w:r>
          </w:p>
        </w:tc>
        <w:tc>
          <w:tcPr/>
          <w:p>
            <w:pPr>
              <w:pStyle w:val="Compact"/>
              <w:bidi/>
              <w:jc w:val="left"/>
            </w:pPr>
            <w:r>
              <w:rPr>
                <w:rtl/>
              </w:rPr>
              <w:t xml:space="preserve">قرار باعتماد الحكومة الرقمية مساراً وطنياً، وإطلاق نسخة تجريبية من البوابة الحكومية</w:t>
            </w:r>
          </w:p>
        </w:tc>
      </w:tr>
      <w:tr>
        <w:tc>
          <w:tcPr/>
          <w:p>
            <w:pPr>
              <w:pStyle w:val="Compact"/>
              <w:bidi/>
              <w:jc w:val="left"/>
            </w:pPr>
            <w:r>
              <w:rPr>
                <w:b/>
                <w:bCs/>
                <w:rtl/>
              </w:rPr>
              <w:t xml:space="preserve">اليوم 30</w:t>
            </w:r>
          </w:p>
        </w:tc>
        <w:tc>
          <w:tcPr/>
          <w:p>
            <w:pPr>
              <w:pStyle w:val="Compact"/>
              <w:bidi/>
              <w:jc w:val="left"/>
            </w:pPr>
            <w:r>
              <w:rPr>
                <w:rtl/>
              </w:rPr>
              <w:t xml:space="preserve">إنشاء وحدة التنفيذ والمتابعة، وإصدار أول لوحة متابعة علنية</w:t>
            </w:r>
          </w:p>
        </w:tc>
      </w:tr>
      <w:tr>
        <w:tc>
          <w:tcPr/>
          <w:p>
            <w:pPr>
              <w:pStyle w:val="Compact"/>
              <w:bidi/>
              <w:jc w:val="left"/>
            </w:pPr>
            <w:r>
              <w:rPr>
                <w:b/>
                <w:bCs/>
                <w:rtl/>
              </w:rPr>
              <w:t xml:space="preserve">اليوم 45</w:t>
            </w:r>
          </w:p>
        </w:tc>
        <w:tc>
          <w:tcPr/>
          <w:p>
            <w:pPr>
              <w:pStyle w:val="Compact"/>
              <w:bidi/>
              <w:jc w:val="left"/>
            </w:pPr>
            <w:r>
              <w:rPr>
                <w:rtl/>
              </w:rPr>
              <w:t xml:space="preserve">خطة وطنية عاجلة لمنع المجاعة: فتح الممرات، وتأمين القوافل، وتشغيل المطاحن، وتغذية طارئة للأطفال والأمهات</w:t>
            </w:r>
          </w:p>
        </w:tc>
      </w:tr>
      <w:tr>
        <w:tc>
          <w:tcPr/>
          <w:p>
            <w:pPr>
              <w:pStyle w:val="Compact"/>
              <w:bidi/>
              <w:jc w:val="left"/>
            </w:pPr>
            <w:r>
              <w:rPr>
                <w:b/>
                <w:bCs/>
                <w:rtl/>
              </w:rPr>
              <w:t xml:space="preserve">اليوم 45</w:t>
            </w:r>
          </w:p>
        </w:tc>
        <w:tc>
          <w:tcPr/>
          <w:p>
            <w:pPr>
              <w:pStyle w:val="Compact"/>
              <w:bidi/>
              <w:jc w:val="left"/>
            </w:pPr>
            <w:r>
              <w:rPr>
                <w:rtl/>
              </w:rPr>
              <w:t xml:space="preserve">خطة تمويل مدخلات الموسم الزراعي قبل بدء الموسم</w:t>
            </w:r>
          </w:p>
        </w:tc>
      </w:tr>
      <w:tr>
        <w:tc>
          <w:tcPr/>
          <w:p>
            <w:pPr>
              <w:pStyle w:val="Compact"/>
              <w:bidi/>
              <w:jc w:val="left"/>
            </w:pPr>
            <w:r>
              <w:rPr>
                <w:b/>
                <w:bCs/>
                <w:rtl/>
              </w:rPr>
              <w:t xml:space="preserve">اليوم 60</w:t>
            </w:r>
          </w:p>
        </w:tc>
        <w:tc>
          <w:tcPr/>
          <w:p>
            <w:pPr>
              <w:pStyle w:val="Compact"/>
              <w:bidi/>
              <w:jc w:val="left"/>
            </w:pPr>
            <w:r>
              <w:rPr>
                <w:rtl/>
              </w:rPr>
              <w:t xml:space="preserve">نشر الموازنة المعدلة للسنة الأولى، وجدول انتظام دفع الرواتب</w:t>
            </w:r>
          </w:p>
        </w:tc>
      </w:tr>
      <w:tr>
        <w:tc>
          <w:tcPr/>
          <w:p>
            <w:pPr>
              <w:pStyle w:val="Compact"/>
              <w:bidi/>
              <w:jc w:val="left"/>
            </w:pPr>
            <w:r>
              <w:rPr>
                <w:b/>
                <w:bCs/>
                <w:rtl/>
              </w:rPr>
              <w:t xml:space="preserve">اليوم 60</w:t>
            </w:r>
          </w:p>
        </w:tc>
        <w:tc>
          <w:tcPr/>
          <w:p>
            <w:pPr>
              <w:pStyle w:val="Compact"/>
              <w:bidi/>
              <w:jc w:val="left"/>
            </w:pPr>
            <w:r>
              <w:rPr>
                <w:rtl/>
              </w:rPr>
              <w:t xml:space="preserve">قرار بتجميد توسع الشركات المملوكة للأجهزة العسكرية والأمنية، وبدء حصرها العلني</w:t>
            </w:r>
          </w:p>
        </w:tc>
      </w:tr>
      <w:tr>
        <w:tc>
          <w:tcPr/>
          <w:p>
            <w:pPr>
              <w:pStyle w:val="Compact"/>
              <w:bidi/>
              <w:jc w:val="left"/>
            </w:pPr>
            <w:r>
              <w:rPr>
                <w:b/>
                <w:bCs/>
                <w:rtl/>
              </w:rPr>
              <w:t xml:space="preserve">اليوم 60</w:t>
            </w:r>
          </w:p>
        </w:tc>
        <w:tc>
          <w:tcPr/>
          <w:p>
            <w:pPr>
              <w:pStyle w:val="Compact"/>
              <w:bidi/>
              <w:jc w:val="left"/>
            </w:pPr>
            <w:r>
              <w:rPr>
                <w:rtl/>
              </w:rPr>
              <w:t xml:space="preserve">إطلاق المسح الأولي لخطوط الأساس (المدارس والمرافق الصحية ومصادر المياه والنازحين)</w:t>
            </w:r>
          </w:p>
        </w:tc>
      </w:tr>
      <w:tr>
        <w:tc>
          <w:tcPr/>
          <w:p>
            <w:pPr>
              <w:pStyle w:val="Compact"/>
              <w:bidi/>
              <w:jc w:val="left"/>
            </w:pPr>
            <w:r>
              <w:rPr>
                <w:b/>
                <w:bCs/>
                <w:rtl/>
              </w:rPr>
              <w:t xml:space="preserve">اليوم 75</w:t>
            </w:r>
          </w:p>
        </w:tc>
        <w:tc>
          <w:tcPr/>
          <w:p>
            <w:pPr>
              <w:pStyle w:val="Compact"/>
              <w:bidi/>
              <w:jc w:val="left"/>
            </w:pPr>
            <w:r>
              <w:rPr>
                <w:rtl/>
              </w:rPr>
              <w:t xml:space="preserve">تقديم مشاريع قوانين مفوضية التعداد السكاني والانتخابات، والأحزاب، والمكتب المركزي لمكافحة الفساد، والهيئة الوطنية المستقلة للحوار، إلى الجمعية</w:t>
            </w:r>
          </w:p>
        </w:tc>
      </w:tr>
      <w:tr>
        <w:tc>
          <w:tcPr/>
          <w:p>
            <w:pPr>
              <w:pStyle w:val="Compact"/>
              <w:bidi/>
              <w:jc w:val="left"/>
            </w:pPr>
            <w:r>
              <w:rPr>
                <w:b/>
                <w:bCs/>
                <w:rtl/>
              </w:rPr>
              <w:t xml:space="preserve">اليوم 90</w:t>
            </w:r>
          </w:p>
        </w:tc>
        <w:tc>
          <w:tcPr/>
          <w:p>
            <w:pPr>
              <w:pStyle w:val="Compact"/>
              <w:bidi/>
              <w:jc w:val="left"/>
            </w:pPr>
            <w:r>
              <w:rPr>
                <w:rtl/>
              </w:rPr>
              <w:t xml:space="preserve">قانون الحكم الإقليمي الانتقالي، وانعقاد أول مجلس للحكام</w:t>
            </w:r>
          </w:p>
        </w:tc>
      </w:tr>
      <w:tr>
        <w:tc>
          <w:tcPr/>
          <w:p>
            <w:pPr>
              <w:pStyle w:val="Compact"/>
              <w:bidi/>
              <w:jc w:val="left"/>
            </w:pPr>
            <w:r>
              <w:rPr>
                <w:b/>
                <w:bCs/>
                <w:rtl/>
              </w:rPr>
              <w:t xml:space="preserve">اليوم 100</w:t>
            </w:r>
          </w:p>
        </w:tc>
        <w:tc>
          <w:tcPr/>
          <w:p>
            <w:pPr>
              <w:pStyle w:val="Compact"/>
              <w:bidi/>
              <w:jc w:val="left"/>
            </w:pPr>
            <w:r>
              <w:rPr>
                <w:rtl/>
              </w:rPr>
              <w:t xml:space="preserve">إطلاق برنامج الكفاءات الوطنية لاستقطاب الخبرات السودانية في المهجر</w:t>
            </w:r>
          </w:p>
        </w:tc>
      </w:tr>
      <w:tr>
        <w:tc>
          <w:tcPr/>
          <w:p>
            <w:pPr>
              <w:pStyle w:val="Compact"/>
              <w:bidi/>
              <w:jc w:val="left"/>
            </w:pPr>
            <w:r>
              <w:rPr>
                <w:b/>
                <w:bCs/>
                <w:rtl/>
              </w:rPr>
              <w:t xml:space="preserve">اليوم 100</w:t>
            </w:r>
          </w:p>
        </w:tc>
        <w:tc>
          <w:tcPr/>
          <w:p>
            <w:pPr>
              <w:pStyle w:val="Compact"/>
              <w:bidi/>
              <w:jc w:val="left"/>
            </w:pPr>
            <w:r>
              <w:rPr>
                <w:rtl/>
              </w:rPr>
              <w:t xml:space="preserve">أول تقرير علني ربع سنوي أمام الجمعية التأسيسية</w:t>
            </w:r>
          </w:p>
        </w:tc>
      </w:tr>
    </w:tbl>
    <w:p>
      <w:pPr>
        <w:bidi/>
      </w:pPr>
      <w:r>
        <w:rPr>
          <w:rtl/>
        </w:rPr>
        <w:br w:type="page"/>
      </w:r>
    </w:p>
    <w:bookmarkEnd w:id="25"/>
    <w:bookmarkStart w:id="34" w:name="سادسا-البرنامج-حسب-المسارات"/>
    <w:p>
      <w:pPr>
        <w:pStyle w:val="Heading1"/>
        <w:bidi/>
      </w:pPr>
      <w:r>
        <w:rPr>
          <w:rtl/>
        </w:rPr>
        <w:t xml:space="preserve">سادساً: البرنامج حسب المسارات</w:t>
      </w:r>
    </w:p>
    <w:p>
      <w:pPr>
        <w:pStyle w:val="FirstParagraph"/>
        <w:bidi/>
      </w:pPr>
      <w:r>
        <w:rPr>
          <w:i/>
          <w:iCs/>
          <w:rtl/>
        </w:rPr>
        <w:t xml:space="preserve">(تفاصيل كل إجراء، بجهته وشركائه ومواعيده وكلفته ومصدر تمويله، في الملحق الأول: مصفوفة التنفيذ.)</w:t>
      </w:r>
    </w:p>
    <w:bookmarkStart w:id="26" w:name="المسار-الأول-السلام-والأمن"/>
    <w:p>
      <w:pPr>
        <w:pStyle w:val="Heading2"/>
        <w:bidi/>
      </w:pPr>
      <w:r>
        <w:rPr>
          <w:rtl/>
        </w:rPr>
        <w:t xml:space="preserve">المسار الأول: السلام والأمن</w:t>
      </w:r>
    </w:p>
    <w:p>
      <w:pPr>
        <w:pStyle w:val="FirstParagraph"/>
        <w:bidi/>
      </w:pPr>
      <w:r>
        <w:rPr>
          <w:b/>
          <w:bCs/>
          <w:rtl/>
        </w:rPr>
        <w:t xml:space="preserve">الهدف:</w:t>
      </w:r>
      <w:r>
        <w:rPr>
          <w:rtl/>
        </w:rPr>
        <w:t xml:space="preserve"> </w:t>
      </w:r>
      <w:r>
        <w:rPr>
          <w:rtl/>
        </w:rPr>
        <w:t xml:space="preserve">إنهاء الحرب حرباً أو تفاوضاً، وتوحيد السلاح في جيش وطني واحد.</w:t>
      </w:r>
    </w:p>
    <w:p>
      <w:pPr>
        <w:pStyle w:val="BodyText"/>
        <w:bidi/>
      </w:pPr>
      <w:r>
        <w:rPr>
          <w:b/>
          <w:bCs/>
          <w:rtl/>
        </w:rPr>
        <w:t xml:space="preserve">أبرز الإجراءات:</w:t>
      </w:r>
      <w:r>
        <w:rPr>
          <w:rtl/>
        </w:rPr>
        <w:t xml:space="preserve"> </w:t>
      </w:r>
      <w:r>
        <w:rPr>
          <w:rtl/>
        </w:rPr>
        <w:t xml:space="preserve">موقف تفاوضي مكتوب ومعلن، وفريق تفاوض وطني؛ وقف شامل لإطلاق النار بآلية مراقبة مشتركة؛ قانون جديد للقوات المسلحة؛ تسجيل 100 ألف مقاتل ودمج أو تسريح 50 ألفاً خلال 18 شهراً؛ حل التشكيلات المسلحة العقائدية والحزبية؛ إصلاح الشرطة وحرس الحدود؛ خطة إخراج المعسكرات من المدن.</w:t>
      </w:r>
    </w:p>
    <w:bookmarkEnd w:id="26"/>
    <w:bookmarkStart w:id="27" w:name="المسار-الثاني-الإغاثة-والإنعاش-الاقتصادي"/>
    <w:p>
      <w:pPr>
        <w:pStyle w:val="Heading2"/>
        <w:bidi/>
      </w:pPr>
      <w:r>
        <w:rPr>
          <w:rtl/>
        </w:rPr>
        <w:t xml:space="preserve">المسار الثاني: الإغاثة والإنعاش الاقتصادي</w:t>
      </w:r>
    </w:p>
    <w:p>
      <w:pPr>
        <w:pStyle w:val="FirstParagraph"/>
        <w:bidi/>
      </w:pPr>
      <w:r>
        <w:rPr>
          <w:b/>
          <w:bCs/>
          <w:rtl/>
        </w:rPr>
        <w:t xml:space="preserve">الهدف:</w:t>
      </w:r>
      <w:r>
        <w:rPr>
          <w:rtl/>
        </w:rPr>
        <w:t xml:space="preserve"> </w:t>
      </w:r>
      <w:r>
        <w:rPr>
          <w:rtl/>
        </w:rPr>
        <w:t xml:space="preserve">منع المجاعة، ووقف الانهيار المعيشي، وتشغيل الإنتاج.</w:t>
      </w:r>
    </w:p>
    <w:p>
      <w:pPr>
        <w:pStyle w:val="BodyText"/>
        <w:bidi/>
      </w:pPr>
      <w:r>
        <w:rPr>
          <w:b/>
          <w:bCs/>
          <w:rtl/>
        </w:rPr>
        <w:t xml:space="preserve">أبرز الإجراءات:</w:t>
      </w:r>
      <w:r>
        <w:rPr>
          <w:rtl/>
        </w:rPr>
        <w:t xml:space="preserve"> </w:t>
      </w:r>
      <w:r>
        <w:rPr>
          <w:rtl/>
        </w:rPr>
        <w:t xml:space="preserve">الممرات الإنسانية عبر مفوضية العون الإنساني دون تسييس العمل الإنساني؛ تمويل مدخلات كل موسم زراعي قبل بدئه؛ إعادة تأهيل مشروع الجزيرة والمشاريع المروية؛</w:t>
      </w:r>
      <w:r>
        <w:rPr>
          <w:rtl/>
        </w:rPr>
        <w:t xml:space="preserve"> </w:t>
      </w:r>
      <w:r>
        <w:rPr>
          <w:b/>
          <w:bCs/>
          <w:rtl/>
        </w:rPr>
        <w:t xml:space="preserve">خطة تشغيلية لسلسلة الذهب كاملة</w:t>
      </w:r>
      <w:r>
        <w:rPr>
          <w:rtl/>
        </w:rPr>
        <w:t xml:space="preserve"> </w:t>
      </w:r>
      <w:r>
        <w:rPr>
          <w:rtl/>
        </w:rPr>
        <w:t xml:space="preserve">(الترخيص، والشراء، والتسعير، والتصفية، والتصدير، والضرائب، والرقابة) تفصّلها الورقة الاقتصادية؛</w:t>
      </w:r>
      <w:r>
        <w:rPr>
          <w:rtl/>
        </w:rPr>
        <w:t xml:space="preserve"> </w:t>
      </w:r>
      <w:r>
        <w:rPr>
          <w:b/>
          <w:bCs/>
          <w:rtl/>
        </w:rPr>
        <w:t xml:space="preserve">خطة مرحلية لتوحيد سعر الصرف</w:t>
      </w:r>
      <w:r>
        <w:rPr>
          <w:rtl/>
        </w:rPr>
        <w:t xml:space="preserve"> </w:t>
      </w:r>
      <w:r>
        <w:rPr>
          <w:rtl/>
        </w:rPr>
        <w:t xml:space="preserve">يقودها البنك المركزي بالتنسيق مع المالية: بناء احتياطي أولي من عائدات الذهب والدعم الخارجي، ثم تشغيل التحويلات النقدية للأسر الفقيرة، ثم التوحيد، ثم نظام صرف مرن مُدار؛ رقمنة التحصيل الضريبي والجمركي؛ الطاقة الشمسية الموزعة.</w:t>
      </w:r>
    </w:p>
    <w:bookmarkEnd w:id="27"/>
    <w:bookmarkStart w:id="28" w:name="X54ac55443444fcd87d5643d85c7d05156d60c29"/>
    <w:p>
      <w:pPr>
        <w:pStyle w:val="Heading2"/>
        <w:bidi/>
      </w:pPr>
      <w:r>
        <w:rPr>
          <w:rtl/>
        </w:rPr>
        <w:t xml:space="preserve">المسار الثالث: الدولة والمؤسسات والحكم الإقليمي</w:t>
      </w:r>
    </w:p>
    <w:p>
      <w:pPr>
        <w:pStyle w:val="FirstParagraph"/>
        <w:bidi/>
      </w:pPr>
      <w:r>
        <w:rPr>
          <w:b/>
          <w:bCs/>
          <w:rtl/>
        </w:rPr>
        <w:t xml:space="preserve">الهدف:</w:t>
      </w:r>
      <w:r>
        <w:rPr>
          <w:rtl/>
        </w:rPr>
        <w:t xml:space="preserve"> </w:t>
      </w:r>
      <w:r>
        <w:rPr>
          <w:rtl/>
        </w:rPr>
        <w:t xml:space="preserve">استعادة وظائف الدولة وبناء قدرتها، والانتقال إلى الأقاليم التسعة.</w:t>
      </w:r>
    </w:p>
    <w:p>
      <w:pPr>
        <w:pStyle w:val="BodyText"/>
        <w:bidi/>
      </w:pPr>
      <w:r>
        <w:rPr>
          <w:b/>
          <w:bCs/>
          <w:rtl/>
        </w:rPr>
        <w:t xml:space="preserve">بناء القدرة في الأشهر الثمانية عشر الأولى</w:t>
      </w:r>
      <w:r>
        <w:rPr>
          <w:rtl/>
        </w:rPr>
        <w:t xml:space="preserve"> </w:t>
      </w:r>
      <w:r>
        <w:rPr>
          <w:rtl/>
        </w:rPr>
        <w:t xml:space="preserve">بستة مداخل: البدء بالمؤسسات التي صمدت؛ ووحدات تنفيذ صغيرة في الوزارات الحيوية؛ وبرنامج الكفاءات الوطنية؛ ومساعدة فنية مشروطة بنظير سوداني لكل خبير؛ والرقمنة؛ والشراكة المؤقتة مع المجتمع المدني في تقديم الخدمات.</w:t>
      </w:r>
    </w:p>
    <w:p>
      <w:pPr>
        <w:pStyle w:val="BodyText"/>
        <w:bidi/>
      </w:pPr>
      <w:r>
        <w:rPr>
          <w:b/>
          <w:bCs/>
          <w:rtl/>
        </w:rPr>
        <w:t xml:space="preserve">الانتقال إلى الأقاليم التسعة</w:t>
      </w:r>
      <w:r>
        <w:rPr>
          <w:rtl/>
        </w:rPr>
        <w:t xml:space="preserve"> </w:t>
      </w:r>
      <w:r>
        <w:rPr>
          <w:rtl/>
        </w:rPr>
        <w:t xml:space="preserve">مشروع كبير لا يقتصر على تغيير الأسماء. فهو يتطلب ترسيم الحدود، وتوزيع الاختصاصات والموارد والموظفين، وإنشاء الحكومات الإقليمية وشرطة الأقاليم، وتنظيم العلاقة المالية مع المركز. ولذلك يُنجز على مرحلتين خلال 12 شهراً:</w:t>
      </w:r>
      <w:r>
        <w:rPr>
          <w:rtl/>
        </w:rPr>
        <w:t xml:space="preserve"> </w:t>
      </w:r>
      <w:r>
        <w:rPr>
          <w:b/>
          <w:bCs/>
          <w:rtl/>
        </w:rPr>
        <w:t xml:space="preserve">مرحلة التأسيس</w:t>
      </w:r>
      <w:r>
        <w:rPr>
          <w:rtl/>
        </w:rPr>
        <w:t xml:space="preserve"> </w:t>
      </w:r>
      <w:r>
        <w:rPr>
          <w:rtl/>
        </w:rPr>
        <w:t xml:space="preserve">(الأشهر 3–6: قانون الحكم الإقليمي، وتعيين الحكام، ونقل الاختصاصات الإدارية)، و</w:t>
      </w:r>
      <w:r>
        <w:rPr>
          <w:b/>
          <w:bCs/>
          <w:rtl/>
        </w:rPr>
        <w:t xml:space="preserve">مرحلة النقل</w:t>
      </w:r>
      <w:r>
        <w:rPr>
          <w:rtl/>
        </w:rPr>
        <w:t xml:space="preserve"> </w:t>
      </w:r>
      <w:r>
        <w:rPr>
          <w:rtl/>
        </w:rPr>
        <w:t xml:space="preserve">(الأشهر 7–12: نقل الموارد والموظفين والخدمات). وتفصيله في الملحق الرابع.</w:t>
      </w:r>
    </w:p>
    <w:bookmarkEnd w:id="28"/>
    <w:bookmarkStart w:id="29" w:name="X33d216464d1a1b25fc310df9d34c17ff679ade4"/>
    <w:p>
      <w:pPr>
        <w:pStyle w:val="Heading2"/>
        <w:bidi/>
      </w:pPr>
      <w:r>
        <w:rPr>
          <w:rtl/>
        </w:rPr>
        <w:t xml:space="preserve">المسار الرابع: الحوار الوطني والعدالة الانتقالية</w:t>
      </w:r>
    </w:p>
    <w:p>
      <w:pPr>
        <w:pStyle w:val="FirstParagraph"/>
        <w:bidi/>
      </w:pPr>
      <w:r>
        <w:rPr>
          <w:b/>
          <w:bCs/>
          <w:rtl/>
        </w:rPr>
        <w:t xml:space="preserve">الحوار الوطني:</w:t>
      </w:r>
      <w:r>
        <w:rPr>
          <w:rtl/>
        </w:rPr>
        <w:t xml:space="preserve"> </w:t>
      </w:r>
      <w:r>
        <w:rPr>
          <w:rtl/>
        </w:rPr>
        <w:t xml:space="preserve">تديره</w:t>
      </w:r>
      <w:r>
        <w:rPr>
          <w:rtl/>
        </w:rPr>
        <w:t xml:space="preserve"> </w:t>
      </w:r>
      <w:r>
        <w:rPr>
          <w:b/>
          <w:bCs/>
          <w:rtl/>
        </w:rPr>
        <w:t xml:space="preserve">الهيئة الوطنية المستقلة للحوار</w:t>
      </w:r>
      <w:r>
        <w:rPr>
          <w:rtl/>
        </w:rPr>
        <w:t xml:space="preserve">، المنشأة بقانون، بموازنة محمية تُصرف مباشرة من وزارة المالية دون المرور بأي جهة تنفيذية أخرى، وبأعضاء تجيزهم الجمعية التأسيسية بأغلبية كبيرة، ولا يتولون مناصب تنفيذية ولا يترشحون في الانتخابات التالية. وتقتصر مهمة الحكومة على التمويل والتسهيلات والأمن، دون أي دور في الأجندة أو اختيار المشاركين أو صياغة النتائج.</w:t>
      </w:r>
    </w:p>
    <w:p>
      <w:pPr>
        <w:pStyle w:val="BodyText"/>
        <w:bidi/>
      </w:pPr>
      <w:r>
        <w:rPr>
          <w:b/>
          <w:bCs/>
          <w:rtl/>
        </w:rPr>
        <w:t xml:space="preserve">العدالة الانتقالية</w:t>
      </w:r>
      <w:r>
        <w:rPr>
          <w:rtl/>
        </w:rPr>
        <w:t xml:space="preserve"> </w:t>
      </w:r>
      <w:r>
        <w:rPr>
          <w:rtl/>
        </w:rPr>
        <w:t xml:space="preserve">تحتاج إلى حماية مؤسسية، لا إلى إرادة سياسية فقط:</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الوظيفة</w:t>
            </w:r>
          </w:p>
        </w:tc>
        <w:tc>
          <w:tcPr/>
          <w:p>
            <w:pPr>
              <w:pStyle w:val="Compact"/>
              <w:bidi/>
              <w:jc w:val="left"/>
            </w:pPr>
            <w:r>
              <w:rPr>
                <w:rtl/>
              </w:rPr>
              <w:t xml:space="preserve">الجهة المسؤولة</w:t>
            </w:r>
          </w:p>
        </w:tc>
      </w:tr>
      <w:tr>
        <w:tc>
          <w:tcPr/>
          <w:p>
            <w:pPr>
              <w:pStyle w:val="Compact"/>
              <w:bidi/>
              <w:jc w:val="left"/>
            </w:pPr>
            <w:r>
              <w:rPr>
                <w:b/>
                <w:bCs/>
                <w:rtl/>
              </w:rPr>
              <w:t xml:space="preserve">كشف الحقيقة والتوثيق وحفظ الأرشيف</w:t>
            </w:r>
          </w:p>
        </w:tc>
        <w:tc>
          <w:tcPr/>
          <w:p>
            <w:pPr>
              <w:pStyle w:val="Compact"/>
              <w:bidi/>
              <w:jc w:val="left"/>
            </w:pPr>
            <w:r>
              <w:rPr>
                <w:rtl/>
              </w:rPr>
              <w:t xml:space="preserve">مفوضية العدالة الانتقالية، مع حفظ نسخة من الأرشيف لدى جهة دولية محايدة</w:t>
            </w:r>
          </w:p>
        </w:tc>
      </w:tr>
      <w:tr>
        <w:tc>
          <w:tcPr/>
          <w:p>
            <w:pPr>
              <w:pStyle w:val="Compact"/>
              <w:bidi/>
              <w:jc w:val="left"/>
            </w:pPr>
            <w:r>
              <w:rPr>
                <w:b/>
                <w:bCs/>
                <w:rtl/>
              </w:rPr>
              <w:t xml:space="preserve">جمع الأدلة الجنائية</w:t>
            </w:r>
          </w:p>
        </w:tc>
        <w:tc>
          <w:tcPr/>
          <w:p>
            <w:pPr>
              <w:pStyle w:val="Compact"/>
              <w:bidi/>
              <w:jc w:val="left"/>
            </w:pPr>
            <w:r>
              <w:rPr>
                <w:rtl/>
              </w:rPr>
              <w:t xml:space="preserve">نيابة متخصصة مستقلة لجرائم الحرب والجرائم ضد الإنسانية</w:t>
            </w:r>
          </w:p>
        </w:tc>
      </w:tr>
      <w:tr>
        <w:tc>
          <w:tcPr/>
          <w:p>
            <w:pPr>
              <w:pStyle w:val="Compact"/>
              <w:bidi/>
              <w:jc w:val="left"/>
            </w:pPr>
            <w:r>
              <w:rPr>
                <w:b/>
                <w:bCs/>
                <w:rtl/>
              </w:rPr>
              <w:t xml:space="preserve">حماية الشهود والضحايا</w:t>
            </w:r>
          </w:p>
        </w:tc>
        <w:tc>
          <w:tcPr/>
          <w:p>
            <w:pPr>
              <w:pStyle w:val="Compact"/>
              <w:bidi/>
              <w:jc w:val="left"/>
            </w:pPr>
            <w:r>
              <w:rPr>
                <w:rtl/>
              </w:rPr>
              <w:t xml:space="preserve">برنامج مستقل لحماية الشهود ينشئه القانون</w:t>
            </w:r>
          </w:p>
        </w:tc>
      </w:tr>
      <w:tr>
        <w:tc>
          <w:tcPr/>
          <w:p>
            <w:pPr>
              <w:pStyle w:val="Compact"/>
              <w:bidi/>
              <w:jc w:val="left"/>
            </w:pPr>
            <w:r>
              <w:rPr>
                <w:b/>
                <w:bCs/>
                <w:rtl/>
              </w:rPr>
              <w:t xml:space="preserve">المحاكمة</w:t>
            </w:r>
          </w:p>
        </w:tc>
        <w:tc>
          <w:tcPr/>
          <w:p>
            <w:pPr>
              <w:pStyle w:val="Compact"/>
              <w:bidi/>
              <w:jc w:val="left"/>
            </w:pPr>
            <w:r>
              <w:rPr>
                <w:rtl/>
              </w:rPr>
              <w:t xml:space="preserve">المحاكم المختلطة، بقضاة سودانيين ودوليين</w:t>
            </w:r>
          </w:p>
        </w:tc>
      </w:tr>
      <w:tr>
        <w:tc>
          <w:tcPr/>
          <w:p>
            <w:pPr>
              <w:pStyle w:val="Compact"/>
              <w:bidi/>
              <w:jc w:val="left"/>
            </w:pPr>
            <w:r>
              <w:rPr>
                <w:b/>
                <w:bCs/>
                <w:rtl/>
              </w:rPr>
              <w:t xml:space="preserve">جبر الضرر</w:t>
            </w:r>
          </w:p>
        </w:tc>
        <w:tc>
          <w:tcPr/>
          <w:p>
            <w:pPr>
              <w:pStyle w:val="Compact"/>
              <w:bidi/>
              <w:jc w:val="left"/>
            </w:pPr>
            <w:r>
              <w:rPr>
                <w:rtl/>
              </w:rPr>
              <w:t xml:space="preserve">صندوق وطني مستقل يُموَّل من الموازنة والأموال المستردة والمساهمات الدولية</w:t>
            </w:r>
          </w:p>
        </w:tc>
      </w:tr>
      <w:tr>
        <w:tc>
          <w:tcPr/>
          <w:p>
            <w:pPr>
              <w:pStyle w:val="Compact"/>
              <w:bidi/>
              <w:jc w:val="left"/>
            </w:pPr>
            <w:r>
              <w:rPr>
                <w:b/>
                <w:bCs/>
                <w:rtl/>
              </w:rPr>
              <w:t xml:space="preserve">المصالحات المجتمعية</w:t>
            </w:r>
          </w:p>
        </w:tc>
        <w:tc>
          <w:tcPr/>
          <w:p>
            <w:pPr>
              <w:pStyle w:val="Compact"/>
              <w:bidi/>
              <w:jc w:val="left"/>
            </w:pPr>
            <w:r>
              <w:rPr>
                <w:rtl/>
              </w:rPr>
              <w:t xml:space="preserve">لجان مجتمعية تحت إشراف المفوضية، في النزاعات المحلية فقط</w:t>
            </w:r>
          </w:p>
        </w:tc>
      </w:tr>
    </w:tbl>
    <w:p>
      <w:pPr>
        <w:pStyle w:val="BodyText"/>
        <w:bidi/>
      </w:pPr>
      <w:r>
        <w:rPr>
          <w:rtl/>
        </w:rPr>
        <w:t xml:space="preserve">والفصل بين المسارين واضح:</w:t>
      </w:r>
      <w:r>
        <w:rPr>
          <w:rtl/>
        </w:rPr>
        <w:t xml:space="preserve"> </w:t>
      </w:r>
      <w:r>
        <w:rPr>
          <w:b/>
          <w:bCs/>
          <w:rtl/>
        </w:rPr>
        <w:t xml:space="preserve">المصالحات المجتمعية للنزاعات المحلية، والقضاء للجرائم الجسيمة، ولا تُستخدم إحداهما لطمس الأخرى.</w:t>
      </w:r>
      <w:r>
        <w:rPr>
          <w:rtl/>
        </w:rPr>
        <w:t xml:space="preserve"> </w:t>
      </w:r>
      <w:r>
        <w:rPr>
          <w:rtl/>
        </w:rPr>
        <w:t xml:space="preserve">ولأن المحاكمات تحتاج إلى استعداد قضائي كبير، تبدأ السنة الأولى بالتوثيق وجمع الأدلة وإنشاء المؤسسات، على أن تبدأ المحاكمات الأولى قبل نهاية الانتقال.</w:t>
      </w:r>
    </w:p>
    <w:bookmarkEnd w:id="29"/>
    <w:bookmarkStart w:id="30" w:name="المسار-الخامس-الخدمات-الأساسية"/>
    <w:p>
      <w:pPr>
        <w:pStyle w:val="Heading2"/>
        <w:bidi/>
      </w:pPr>
      <w:r>
        <w:rPr>
          <w:rtl/>
        </w:rPr>
        <w:t xml:space="preserve">المسار الخامس: الخدمات الأساسية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القطاع</w:t>
            </w:r>
          </w:p>
        </w:tc>
        <w:tc>
          <w:tcPr/>
          <w:p>
            <w:pPr>
              <w:pStyle w:val="Compact"/>
              <w:bidi/>
              <w:jc w:val="left"/>
            </w:pPr>
            <w:r>
              <w:rPr>
                <w:rtl/>
              </w:rPr>
              <w:t xml:space="preserve">الإجراءات الرئيسية</w:t>
            </w:r>
          </w:p>
        </w:tc>
        <w:tc>
          <w:tcPr/>
          <w:p>
            <w:pPr>
              <w:pStyle w:val="Compact"/>
              <w:bidi/>
              <w:jc w:val="left"/>
            </w:pPr>
            <w:r>
              <w:rPr>
                <w:rtl/>
              </w:rPr>
              <w:t xml:space="preserve">المؤشر في نهاية الانتقال</w:t>
            </w:r>
          </w:p>
        </w:tc>
      </w:tr>
      <w:tr>
        <w:tc>
          <w:tcPr/>
          <w:p>
            <w:pPr>
              <w:pStyle w:val="Compact"/>
              <w:bidi/>
              <w:jc w:val="left"/>
            </w:pPr>
            <w:r>
              <w:rPr>
                <w:b/>
                <w:bCs/>
                <w:rtl/>
              </w:rPr>
              <w:t xml:space="preserve">التعليم</w:t>
            </w:r>
          </w:p>
        </w:tc>
        <w:tc>
          <w:tcPr/>
          <w:p>
            <w:pPr>
              <w:pStyle w:val="Compact"/>
              <w:bidi/>
              <w:jc w:val="left"/>
            </w:pPr>
            <w:r>
              <w:rPr>
                <w:rtl/>
              </w:rPr>
              <w:t xml:space="preserve">إعادة فتح المدارس وتأهيلها، وانتظام رواتب المعلمين، وبرنامج «الفرصة الثانية»، والتغذية المدرسية</w:t>
            </w:r>
          </w:p>
        </w:tc>
        <w:tc>
          <w:tcPr/>
          <w:p>
            <w:pPr>
              <w:pStyle w:val="Compact"/>
              <w:bidi/>
              <w:jc w:val="left"/>
            </w:pPr>
            <w:r>
              <w:rPr>
                <w:rtl/>
              </w:rPr>
              <w:t xml:space="preserve">خفض عدد الأطفال خارج المدرسة 70%؛ الإنفاق التعليمي 7% من الموازنة</w:t>
            </w:r>
          </w:p>
        </w:tc>
      </w:tr>
      <w:tr>
        <w:tc>
          <w:tcPr/>
          <w:p>
            <w:pPr>
              <w:pStyle w:val="Compact"/>
              <w:bidi/>
              <w:jc w:val="left"/>
            </w:pPr>
            <w:r>
              <w:rPr>
                <w:b/>
                <w:bCs/>
                <w:rtl/>
              </w:rPr>
              <w:t xml:space="preserve">الصحة</w:t>
            </w:r>
          </w:p>
        </w:tc>
        <w:tc>
          <w:tcPr/>
          <w:p>
            <w:pPr>
              <w:pStyle w:val="Compact"/>
              <w:bidi/>
              <w:jc w:val="left"/>
            </w:pPr>
            <w:r>
              <w:rPr>
                <w:rtl/>
              </w:rPr>
              <w:t xml:space="preserve">البرنامج الصحي العاجل ضد المجاعة والأوبئة، وإعادة تشغيل المستشفيات، والصحة النفسية</w:t>
            </w:r>
          </w:p>
        </w:tc>
        <w:tc>
          <w:tcPr/>
          <w:p>
            <w:pPr>
              <w:pStyle w:val="Compact"/>
              <w:bidi/>
              <w:jc w:val="left"/>
            </w:pPr>
            <w:r>
              <w:rPr>
                <w:rtl/>
              </w:rPr>
              <w:t xml:space="preserve">70% من السكان على بعد 20 كم من مرفق صحي عامل؛ الإنفاق الصحي 7% من الموازنة</w:t>
            </w:r>
          </w:p>
        </w:tc>
      </w:tr>
      <w:tr>
        <w:tc>
          <w:tcPr/>
          <w:p>
            <w:pPr>
              <w:pStyle w:val="Compact"/>
              <w:bidi/>
              <w:jc w:val="left"/>
            </w:pPr>
            <w:r>
              <w:rPr>
                <w:b/>
                <w:bCs/>
                <w:rtl/>
              </w:rPr>
              <w:t xml:space="preserve">المياه</w:t>
            </w:r>
          </w:p>
        </w:tc>
        <w:tc>
          <w:tcPr/>
          <w:p>
            <w:pPr>
              <w:pStyle w:val="Compact"/>
              <w:bidi/>
              <w:jc w:val="left"/>
            </w:pPr>
            <w:r>
              <w:rPr>
                <w:rtl/>
              </w:rPr>
              <w:t xml:space="preserve">آبار عميقة ومضخات شمسية وصيانة مجتمعية</w:t>
            </w:r>
          </w:p>
        </w:tc>
        <w:tc>
          <w:tcPr/>
          <w:p>
            <w:pPr>
              <w:pStyle w:val="Compact"/>
              <w:bidi/>
              <w:jc w:val="left"/>
            </w:pPr>
            <w:r>
              <w:rPr>
                <w:rtl/>
              </w:rPr>
              <w:t xml:space="preserve">70% يصلون إلى مياه شرب آمنة</w:t>
            </w:r>
          </w:p>
        </w:tc>
      </w:tr>
      <w:tr>
        <w:tc>
          <w:tcPr/>
          <w:p>
            <w:pPr>
              <w:pStyle w:val="Compact"/>
              <w:bidi/>
              <w:jc w:val="left"/>
            </w:pPr>
            <w:r>
              <w:rPr>
                <w:b/>
                <w:bCs/>
                <w:rtl/>
              </w:rPr>
              <w:t xml:space="preserve">الحماية الاجتماعية</w:t>
            </w:r>
          </w:p>
        </w:tc>
        <w:tc>
          <w:tcPr/>
          <w:p>
            <w:pPr>
              <w:pStyle w:val="Compact"/>
              <w:bidi/>
              <w:jc w:val="left"/>
            </w:pPr>
            <w:r>
              <w:rPr>
                <w:rtl/>
              </w:rPr>
              <w:t xml:space="preserve">تحويلات نقدية مستهدفة عبر الهوية الرقمية، والتجربة الرائدة للدخل الأساسي</w:t>
            </w:r>
          </w:p>
        </w:tc>
        <w:tc>
          <w:tcPr/>
          <w:p>
            <w:pPr>
              <w:pStyle w:val="Compact"/>
              <w:bidi/>
              <w:jc w:val="left"/>
            </w:pPr>
            <w:r>
              <w:rPr>
                <w:rtl/>
              </w:rPr>
              <w:t xml:space="preserve">40% من الأسر المستحقة مشمولة</w:t>
            </w:r>
          </w:p>
        </w:tc>
      </w:tr>
    </w:tbl>
    <w:p>
      <w:pPr>
        <w:pStyle w:val="BodyText"/>
        <w:bidi/>
      </w:pPr>
      <w:r>
        <w:rPr>
          <w:b/>
          <w:bCs/>
          <w:rtl/>
        </w:rPr>
        <w:t xml:space="preserve">وعدد المدارس والمرافق والآبار المطلوب إعادة تأهيلها، ومواقعها، وكلفة الوحدة</w:t>
      </w:r>
      <w:r>
        <w:rPr>
          <w:rtl/>
        </w:rPr>
        <w:t xml:space="preserve">، تُحدَّد في المسح الأولي، ثم تُنشر في خطة قطاعية لكل إقليم خلال الشهر التاسع. ولا يضع البرنامج أرقاماً لها قبل المسح، لأن البيانات المتاحة اليوم لا تسمح بذلك بدقة.</w:t>
      </w:r>
    </w:p>
    <w:bookmarkEnd w:id="30"/>
    <w:bookmarkStart w:id="31" w:name="المسار-السادس-العودة-والإعمار"/>
    <w:p>
      <w:pPr>
        <w:pStyle w:val="Heading2"/>
        <w:bidi/>
      </w:pPr>
      <w:r>
        <w:rPr>
          <w:rtl/>
        </w:rPr>
        <w:t xml:space="preserve">المسار السادس: العودة والإعمار</w:t>
      </w:r>
    </w:p>
    <w:p>
      <w:pPr>
        <w:pStyle w:val="FirstParagraph"/>
        <w:bidi/>
      </w:pPr>
      <w:r>
        <w:rPr>
          <w:b/>
          <w:bCs/>
          <w:rtl/>
        </w:rPr>
        <w:t xml:space="preserve">أبرز الإجراءات:</w:t>
      </w:r>
      <w:r>
        <w:rPr>
          <w:rtl/>
        </w:rPr>
        <w:t xml:space="preserve"> </w:t>
      </w:r>
      <w:r>
        <w:rPr>
          <w:rtl/>
        </w:rPr>
        <w:t xml:space="preserve">حزمة عودة لكل أسرة؛ ترتيب الإعمار (شرايين الحياة، ثم الإنتاج، ثم السكن، ثم التراث)؛ صندوق إعادة الإعمار بتدقيق دولي وبوابة علنية؛ تأمين سجلات الأراضي ورقمنتها؛ تقييم سريع لاحتياجات دارفور وكردفان خلال 12 شهراً، ثم خطة منشورة لكل منهما.</w:t>
      </w:r>
    </w:p>
    <w:bookmarkEnd w:id="31"/>
    <w:bookmarkStart w:id="32" w:name="المسار-السابع-الدستور-الدائم-والانتخابات"/>
    <w:p>
      <w:pPr>
        <w:pStyle w:val="Heading2"/>
        <w:bidi/>
      </w:pPr>
      <w:r>
        <w:rPr>
          <w:rtl/>
        </w:rPr>
        <w:t xml:space="preserve">المسار السابع: الدستور الدائم والانتخابات</w:t>
      </w:r>
    </w:p>
    <w:p>
      <w:pPr>
        <w:pStyle w:val="FirstParagraph"/>
        <w:bidi/>
      </w:pPr>
      <w:r>
        <w:rPr>
          <w:b/>
          <w:bCs/>
          <w:rtl/>
        </w:rPr>
        <w:t xml:space="preserve">لا يرتبط قرار إجراء الانتخابات بانتهاء الحرب وحده، وإنما بسبعة شروط انتخابية</w:t>
      </w:r>
      <w:r>
        <w:rPr>
          <w:rtl/>
        </w:rPr>
        <w:t xml:space="preserve"> </w:t>
      </w:r>
      <w:r>
        <w:rPr>
          <w:rtl/>
        </w:rPr>
        <w:t xml:space="preserve">تقيّمها مفوضية التعداد السكاني والانتخابات، وتعلن تقريرها عنها عند البوابة الثالثة:</w:t>
      </w:r>
    </w:p>
    <w:p>
      <w:pPr>
        <w:pStyle w:val="Compact"/>
        <w:numPr>
          <w:ilvl w:val="0"/>
          <w:numId w:val="1002"/>
        </w:numPr>
        <w:bidi/>
      </w:pPr>
      <w:r>
        <w:rPr>
          <w:b/>
          <w:bCs/>
          <w:rtl/>
        </w:rPr>
        <w:t xml:space="preserve">حد أدنى من الأمن</w:t>
      </w:r>
      <w:r>
        <w:rPr>
          <w:rtl/>
        </w:rPr>
        <w:t xml:space="preserve"> </w:t>
      </w:r>
      <w:r>
        <w:rPr>
          <w:rtl/>
        </w:rPr>
        <w:t xml:space="preserve">يسمح بالحملات والاقتراع في أغلب الدوائر.</w:t>
      </w:r>
    </w:p>
    <w:p>
      <w:pPr>
        <w:pStyle w:val="Compact"/>
        <w:numPr>
          <w:ilvl w:val="0"/>
          <w:numId w:val="1002"/>
        </w:numPr>
        <w:bidi/>
      </w:pPr>
      <w:r>
        <w:rPr>
          <w:b/>
          <w:bCs/>
          <w:rtl/>
        </w:rPr>
        <w:t xml:space="preserve">إمكانية تسجيل الناخبين</w:t>
      </w:r>
      <w:r>
        <w:rPr>
          <w:rtl/>
        </w:rPr>
        <w:t xml:space="preserve">، بما فيهم النازحون واللاجئون والمغتربون.</w:t>
      </w:r>
    </w:p>
    <w:p>
      <w:pPr>
        <w:pStyle w:val="Compact"/>
        <w:numPr>
          <w:ilvl w:val="0"/>
          <w:numId w:val="1002"/>
        </w:numPr>
        <w:bidi/>
      </w:pPr>
      <w:r>
        <w:rPr>
          <w:b/>
          <w:bCs/>
          <w:rtl/>
        </w:rPr>
        <w:t xml:space="preserve">حرية التنظيم السياسي</w:t>
      </w:r>
      <w:r>
        <w:rPr>
          <w:rtl/>
        </w:rPr>
        <w:t xml:space="preserve"> </w:t>
      </w:r>
      <w:r>
        <w:rPr>
          <w:rtl/>
        </w:rPr>
        <w:t xml:space="preserve">وتسجيل الأحزاب ونشاطها.</w:t>
      </w:r>
    </w:p>
    <w:p>
      <w:pPr>
        <w:pStyle w:val="Compact"/>
        <w:numPr>
          <w:ilvl w:val="0"/>
          <w:numId w:val="1002"/>
        </w:numPr>
        <w:bidi/>
      </w:pPr>
      <w:r>
        <w:rPr>
          <w:b/>
          <w:bCs/>
          <w:rtl/>
        </w:rPr>
        <w:t xml:space="preserve">استقلال المفوضية</w:t>
      </w:r>
      <w:r>
        <w:rPr>
          <w:rtl/>
        </w:rPr>
        <w:t xml:space="preserve"> </w:t>
      </w:r>
      <w:r>
        <w:rPr>
          <w:rtl/>
        </w:rPr>
        <w:t xml:space="preserve">وتوفر موازنتها كاملة.</w:t>
      </w:r>
    </w:p>
    <w:p>
      <w:pPr>
        <w:pStyle w:val="Compact"/>
        <w:numPr>
          <w:ilvl w:val="0"/>
          <w:numId w:val="1002"/>
        </w:numPr>
        <w:bidi/>
      </w:pPr>
      <w:r>
        <w:rPr>
          <w:b/>
          <w:bCs/>
          <w:rtl/>
        </w:rPr>
        <w:t xml:space="preserve">حرية الإعلام</w:t>
      </w:r>
      <w:r>
        <w:rPr>
          <w:rtl/>
        </w:rPr>
        <w:t xml:space="preserve"> </w:t>
      </w:r>
      <w:r>
        <w:rPr>
          <w:rtl/>
        </w:rPr>
        <w:t xml:space="preserve">وتكافؤ فرص الوصول إليه.</w:t>
      </w:r>
    </w:p>
    <w:p>
      <w:pPr>
        <w:pStyle w:val="Compact"/>
        <w:numPr>
          <w:ilvl w:val="0"/>
          <w:numId w:val="1002"/>
        </w:numPr>
        <w:bidi/>
      </w:pPr>
      <w:r>
        <w:rPr>
          <w:b/>
          <w:bCs/>
          <w:rtl/>
        </w:rPr>
        <w:t xml:space="preserve">إمكانية الاقتراع في مناطق النزوح واللجوء.</w:t>
      </w:r>
    </w:p>
    <w:p>
      <w:pPr>
        <w:pStyle w:val="Compact"/>
        <w:numPr>
          <w:ilvl w:val="0"/>
          <w:numId w:val="1002"/>
        </w:numPr>
        <w:bidi/>
      </w:pPr>
      <w:r>
        <w:rPr>
          <w:b/>
          <w:bCs/>
          <w:rtl/>
        </w:rPr>
        <w:t xml:space="preserve">قدرة القضاء على الفصل في الطعون الانتخابية</w:t>
      </w:r>
      <w:r>
        <w:rPr>
          <w:rtl/>
        </w:rPr>
        <w:t xml:space="preserve"> </w:t>
      </w:r>
      <w:r>
        <w:rPr>
          <w:rtl/>
        </w:rPr>
        <w:t xml:space="preserve">في مواعيد محددة.</w:t>
      </w:r>
    </w:p>
    <w:p>
      <w:pPr>
        <w:pStyle w:val="FirstParagraph"/>
        <w:bidi/>
      </w:pPr>
      <w:r>
        <w:rPr>
          <w:rtl/>
        </w:rPr>
        <w:t xml:space="preserve">وإذا تعذر شرط منها في جزء من البلاد، تُجرى الانتخابات حيث تتوفر الشروط، وتُستكمل الدوائر المتعذرة خلال ستة أشهر، ولا تتأجل الانتخابات القومية كلها.</w:t>
      </w:r>
    </w:p>
    <w:p>
      <w:pPr>
        <w:pStyle w:val="BodyText"/>
        <w:bidi/>
      </w:pPr>
      <w:r>
        <w:rPr>
          <w:b/>
          <w:bCs/>
          <w:rtl/>
        </w:rPr>
        <w:t xml:space="preserve">وإذا رُفض الدستور الدائم في الاستفتاء</w:t>
      </w:r>
      <w:r>
        <w:rPr>
          <w:rtl/>
        </w:rPr>
        <w:t xml:space="preserve">، تُجرى الانتخابات في موعدها، وينتخب الشعب برلماناً ذا صلاحية تأسيسية لمدة لا تتجاوز 18 شهراً. وهذه الصلاحية ليست اجتهاداً لاحقاً، وإنما</w:t>
      </w:r>
      <w:r>
        <w:rPr>
          <w:rtl/>
        </w:rPr>
        <w:t xml:space="preserve"> </w:t>
      </w:r>
      <w:r>
        <w:rPr>
          <w:b/>
          <w:bCs/>
          <w:rtl/>
        </w:rPr>
        <w:t xml:space="preserve">ينص عليها مشروع الدستور الانتقالي في مادته (98)</w:t>
      </w:r>
      <w:r>
        <w:rPr>
          <w:rtl/>
        </w:rPr>
        <w:t xml:space="preserve">، فيعلمها الناخب مسبقاً.</w:t>
      </w:r>
    </w:p>
    <w:bookmarkEnd w:id="32"/>
    <w:bookmarkStart w:id="33" w:name="المسار-الثامن-العلاقات-الخارجية"/>
    <w:p>
      <w:pPr>
        <w:pStyle w:val="Heading2"/>
        <w:bidi/>
      </w:pPr>
      <w:r>
        <w:rPr>
          <w:rtl/>
        </w:rPr>
        <w:t xml:space="preserve">المسار الثامن: العلاقات الخارجية</w:t>
      </w:r>
    </w:p>
    <w:p>
      <w:pPr>
        <w:pStyle w:val="FirstParagraph"/>
        <w:bidi/>
      </w:pPr>
      <w:r>
        <w:rPr>
          <w:rtl/>
        </w:rPr>
        <w:t xml:space="preserve">حشد الدعم للسلام والإعمار؛ استئناف مسار إعفاء الديون؛ دبلوماسية جوار نشطة؛ توثيق التدخلات الخارجية وعرضها بأدوات القانون؛ عودة التمثيل في البرلمان الأفريقي؛ تقليص السفارات إلى نحو 25 سفارة فاعلة؛ خدمات قنصلية رقمية للمهجر.</w:t>
      </w:r>
    </w:p>
    <w:p>
      <w:pPr>
        <w:bidi/>
      </w:pPr>
      <w:r>
        <w:rPr>
          <w:rtl/>
        </w:rPr>
        <w:br w:type="page"/>
      </w:r>
    </w:p>
    <w:bookmarkEnd w:id="33"/>
    <w:bookmarkEnd w:id="34"/>
    <w:bookmarkStart w:id="35" w:name="سابعا-البوابات-الزمنية"/>
    <w:p>
      <w:pPr>
        <w:pStyle w:val="Heading1"/>
        <w:bidi/>
      </w:pPr>
      <w:r>
        <w:rPr>
          <w:rtl/>
        </w:rPr>
        <w:t xml:space="preserve">سابعاً: البوابات الزمنية</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البوابة</w:t>
            </w:r>
          </w:p>
        </w:tc>
        <w:tc>
          <w:tcPr/>
          <w:p>
            <w:pPr>
              <w:pStyle w:val="Compact"/>
              <w:bidi/>
              <w:jc w:val="left"/>
            </w:pPr>
            <w:r>
              <w:rPr>
                <w:rtl/>
              </w:rPr>
              <w:t xml:space="preserve">الموعد</w:t>
            </w:r>
          </w:p>
        </w:tc>
        <w:tc>
          <w:tcPr/>
          <w:p>
            <w:pPr>
              <w:pStyle w:val="Compact"/>
              <w:bidi/>
              <w:jc w:val="left"/>
            </w:pPr>
            <w:r>
              <w:rPr>
                <w:rtl/>
              </w:rPr>
              <w:t xml:space="preserve">الشرط</w:t>
            </w:r>
          </w:p>
        </w:tc>
        <w:tc>
          <w:tcPr/>
          <w:p>
            <w:pPr>
              <w:pStyle w:val="Compact"/>
              <w:bidi/>
              <w:jc w:val="left"/>
            </w:pPr>
            <w:r>
              <w:rPr>
                <w:rtl/>
              </w:rPr>
              <w:t xml:space="preserve">القرار إذا لم يتحقق الشرط</w:t>
            </w:r>
          </w:p>
        </w:tc>
      </w:tr>
      <w:tr>
        <w:tc>
          <w:tcPr/>
          <w:p>
            <w:pPr>
              <w:pStyle w:val="Compact"/>
              <w:bidi/>
              <w:jc w:val="left"/>
            </w:pPr>
            <w:r>
              <w:rPr>
                <w:b/>
                <w:bCs/>
                <w:rtl/>
              </w:rPr>
              <w:t xml:space="preserve">الأولى: المؤسسات</w:t>
            </w:r>
          </w:p>
        </w:tc>
        <w:tc>
          <w:tcPr/>
          <w:p>
            <w:pPr>
              <w:pStyle w:val="Compact"/>
              <w:bidi/>
              <w:jc w:val="left"/>
            </w:pPr>
            <w:r>
              <w:rPr>
                <w:rtl/>
              </w:rPr>
              <w:t xml:space="preserve">الشهر 6</w:t>
            </w:r>
          </w:p>
        </w:tc>
        <w:tc>
          <w:tcPr/>
          <w:p>
            <w:pPr>
              <w:pStyle w:val="Compact"/>
              <w:bidi/>
              <w:jc w:val="left"/>
            </w:pPr>
            <w:r>
              <w:rPr>
                <w:rtl/>
              </w:rPr>
              <w:t xml:space="preserve">المحكمة الدستورية والمفوضيات والمكتب المركزي لمكافحة الفساد والهيئة المستقلة للحوار عاملة؛ موازنة المفوضية الانتخابية محمية؛ المسح الأولي مكتمل</w:t>
            </w:r>
          </w:p>
        </w:tc>
        <w:tc>
          <w:tcPr/>
          <w:p>
            <w:pPr>
              <w:pStyle w:val="Compact"/>
              <w:bidi/>
              <w:jc w:val="left"/>
            </w:pPr>
            <w:r>
              <w:rPr>
                <w:rtl/>
              </w:rPr>
              <w:t xml:space="preserve">تقرير علني بأسباب التعثر، وخطة تصحيح خلال 30 يوماً، وأولوية مطلقة للمفوضية الانتخابية</w:t>
            </w:r>
          </w:p>
        </w:tc>
      </w:tr>
      <w:tr>
        <w:tc>
          <w:tcPr/>
          <w:p>
            <w:pPr>
              <w:pStyle w:val="Compact"/>
              <w:bidi/>
              <w:jc w:val="left"/>
            </w:pPr>
            <w:r>
              <w:rPr>
                <w:b/>
                <w:bCs/>
                <w:rtl/>
              </w:rPr>
              <w:t xml:space="preserve">الثانية: السلام</w:t>
            </w:r>
          </w:p>
        </w:tc>
        <w:tc>
          <w:tcPr/>
          <w:p>
            <w:pPr>
              <w:pStyle w:val="Compact"/>
              <w:bidi/>
              <w:jc w:val="left"/>
            </w:pPr>
            <w:r>
              <w:rPr>
                <w:rtl/>
              </w:rPr>
              <w:t xml:space="preserve">الشهر 18</w:t>
            </w:r>
          </w:p>
        </w:tc>
        <w:tc>
          <w:tcPr/>
          <w:p>
            <w:pPr>
              <w:pStyle w:val="Compact"/>
              <w:bidi/>
              <w:jc w:val="left"/>
            </w:pPr>
            <w:r>
              <w:rPr>
                <w:rtl/>
              </w:rPr>
              <w:t xml:space="preserve">وقف شامل لإطلاق النار، والمرحلة الأولى من الدمج والتسريح</w:t>
            </w:r>
          </w:p>
        </w:tc>
        <w:tc>
          <w:tcPr/>
          <w:p>
            <w:pPr>
              <w:pStyle w:val="Compact"/>
              <w:bidi/>
              <w:jc w:val="left"/>
            </w:pPr>
            <w:r>
              <w:rPr>
                <w:rtl/>
              </w:rPr>
              <w:t xml:space="preserve">تفعيل سيناريو السلام الجزئي أو الحرب المستمرة، مع مواصلة التحضير للانتخابات</w:t>
            </w:r>
          </w:p>
        </w:tc>
      </w:tr>
      <w:tr>
        <w:tc>
          <w:tcPr/>
          <w:p>
            <w:pPr>
              <w:pStyle w:val="Compact"/>
              <w:bidi/>
              <w:jc w:val="left"/>
            </w:pPr>
            <w:r>
              <w:rPr>
                <w:b/>
                <w:bCs/>
                <w:rtl/>
              </w:rPr>
              <w:t xml:space="preserve">الثالثة: الأساس الانتخابي</w:t>
            </w:r>
          </w:p>
        </w:tc>
        <w:tc>
          <w:tcPr/>
          <w:p>
            <w:pPr>
              <w:pStyle w:val="Compact"/>
              <w:bidi/>
              <w:jc w:val="left"/>
            </w:pPr>
            <w:r>
              <w:rPr>
                <w:rtl/>
              </w:rPr>
              <w:t xml:space="preserve">الشهر 24</w:t>
            </w:r>
          </w:p>
        </w:tc>
        <w:tc>
          <w:tcPr/>
          <w:p>
            <w:pPr>
              <w:pStyle w:val="Compact"/>
              <w:bidi/>
              <w:jc w:val="left"/>
            </w:pPr>
            <w:r>
              <w:rPr>
                <w:rtl/>
              </w:rPr>
              <w:t xml:space="preserve">التعداد أو بديله المعتمد مكتمل؛ قانون الانتخابات مُجاز؛ تقرير المفوضية عن الشروط الانتخابية السبعة</w:t>
            </w:r>
          </w:p>
        </w:tc>
        <w:tc>
          <w:tcPr/>
          <w:p>
            <w:pPr>
              <w:pStyle w:val="Compact"/>
              <w:bidi/>
              <w:jc w:val="left"/>
            </w:pPr>
            <w:r>
              <w:rPr>
                <w:rtl/>
              </w:rPr>
              <w:t xml:space="preserve">اعتماد البديل (السجل المدني مع حصر جزئي) فوراً، ومعالجة الشروط المتعثرة، دون المساس بالموعد المستهدف</w:t>
            </w:r>
          </w:p>
        </w:tc>
      </w:tr>
      <w:tr>
        <w:tc>
          <w:tcPr/>
          <w:p>
            <w:pPr>
              <w:pStyle w:val="Compact"/>
              <w:bidi/>
              <w:jc w:val="left"/>
            </w:pPr>
            <w:r>
              <w:rPr>
                <w:b/>
                <w:bCs/>
                <w:rtl/>
              </w:rPr>
              <w:t xml:space="preserve">الرابعة: الدستور</w:t>
            </w:r>
          </w:p>
        </w:tc>
        <w:tc>
          <w:tcPr/>
          <w:p>
            <w:pPr>
              <w:pStyle w:val="Compact"/>
              <w:bidi/>
              <w:jc w:val="left"/>
            </w:pPr>
            <w:r>
              <w:rPr>
                <w:rtl/>
              </w:rPr>
              <w:t xml:space="preserve">الشهر 28</w:t>
            </w:r>
          </w:p>
        </w:tc>
        <w:tc>
          <w:tcPr/>
          <w:p>
            <w:pPr>
              <w:pStyle w:val="Compact"/>
              <w:bidi/>
              <w:jc w:val="left"/>
            </w:pPr>
            <w:r>
              <w:rPr>
                <w:rtl/>
              </w:rPr>
              <w:t xml:space="preserve">الاستفتاء على الدستور الدائم</w:t>
            </w:r>
          </w:p>
        </w:tc>
        <w:tc>
          <w:tcPr/>
          <w:p>
            <w:pPr>
              <w:pStyle w:val="Compact"/>
              <w:bidi/>
              <w:jc w:val="left"/>
            </w:pPr>
            <w:r>
              <w:rPr>
                <w:rtl/>
              </w:rPr>
              <w:t xml:space="preserve">إن رُفض، تُجرى الانتخابات في موعدها مع برلمان ذي صلاحية تأسيسية (المادة 98)</w:t>
            </w:r>
          </w:p>
        </w:tc>
      </w:tr>
      <w:tr>
        <w:tc>
          <w:tcPr/>
          <w:p>
            <w:pPr>
              <w:pStyle w:val="Compact"/>
              <w:bidi/>
              <w:jc w:val="left"/>
            </w:pPr>
            <w:r>
              <w:rPr>
                <w:b/>
                <w:bCs/>
                <w:rtl/>
              </w:rPr>
              <w:t xml:space="preserve">الخامسة: الانتخابات</w:t>
            </w:r>
          </w:p>
        </w:tc>
        <w:tc>
          <w:tcPr/>
          <w:p>
            <w:pPr>
              <w:pStyle w:val="Compact"/>
              <w:bidi/>
              <w:jc w:val="left"/>
            </w:pPr>
            <w:r>
              <w:rPr>
                <w:rtl/>
              </w:rPr>
              <w:t xml:space="preserve">الشهر 30</w:t>
            </w:r>
          </w:p>
        </w:tc>
        <w:tc>
          <w:tcPr/>
          <w:p>
            <w:pPr>
              <w:pStyle w:val="Compact"/>
              <w:bidi/>
              <w:jc w:val="left"/>
            </w:pPr>
            <w:r>
              <w:rPr>
                <w:rtl/>
              </w:rPr>
              <w:t xml:space="preserve">إجراء الانتخابات العامة</w:t>
            </w:r>
          </w:p>
        </w:tc>
        <w:tc>
          <w:tcPr/>
          <w:p>
            <w:pPr>
              <w:pStyle w:val="Compact"/>
              <w:bidi/>
              <w:jc w:val="left"/>
            </w:pPr>
            <w:r>
              <w:rPr>
                <w:rtl/>
              </w:rPr>
              <w:t xml:space="preserve">لا يُلجأ إلى الحد الأقصى (الشهر 36) إلا بقرار مسبب من الجمعية؛ وتُجرى الانتخابات حيث أمكن، وتُستكمل الدوائر المتعذرة خلال ستة أشهر</w:t>
            </w:r>
          </w:p>
        </w:tc>
      </w:tr>
    </w:tbl>
    <w:p>
      <w:pPr>
        <w:bidi/>
      </w:pPr>
      <w:r>
        <w:rPr>
          <w:rtl/>
        </w:rPr>
        <w:br w:type="page"/>
      </w:r>
    </w:p>
    <w:bookmarkEnd w:id="35"/>
    <w:bookmarkStart w:id="36" w:name="ثامنا-الموازنة-والتمويل"/>
    <w:p>
      <w:pPr>
        <w:pStyle w:val="Heading1"/>
        <w:bidi/>
      </w:pPr>
      <w:r>
        <w:rPr>
          <w:rtl/>
        </w:rPr>
        <w:t xml:space="preserve">ثامناً: الموازنة والتمويل</w:t>
      </w:r>
    </w:p>
    <w:p>
      <w:pPr>
        <w:pStyle w:val="FirstParagraph"/>
        <w:bidi/>
      </w:pPr>
      <w:r>
        <w:rPr>
          <w:b/>
          <w:bCs/>
          <w:rtl/>
        </w:rPr>
        <w:t xml:space="preserve">الإطار المالي لثلاث سنوات</w:t>
      </w:r>
      <w:r>
        <w:rPr>
          <w:rtl/>
        </w:rPr>
        <w:t xml:space="preserve">، بإيراداته ومنحه وتوزيع إنفاقه على القطاعات، في الملحق الثاني. وأهم ما يكشفه:</w:t>
      </w:r>
    </w:p>
    <w:p>
      <w:pPr>
        <w:pStyle w:val="Compact"/>
        <w:numPr>
          <w:ilvl w:val="0"/>
          <w:numId w:val="1003"/>
        </w:numPr>
        <w:bidi/>
      </w:pPr>
      <w:r>
        <w:rPr>
          <w:b/>
          <w:bCs/>
          <w:rtl/>
        </w:rPr>
        <w:t xml:space="preserve">الفجوة بين الموارد الذاتية والحاجات كبيرة في السنة الأولى</w:t>
      </w:r>
      <w:r>
        <w:rPr>
          <w:rtl/>
        </w:rPr>
        <w:t xml:space="preserve">، ولا تُسد إلا بدعم خارجي للموازنة ولبرامج الدمج والتسريح والإغاثة.</w:t>
      </w:r>
    </w:p>
    <w:p>
      <w:pPr>
        <w:pStyle w:val="Compact"/>
        <w:numPr>
          <w:ilvl w:val="0"/>
          <w:numId w:val="1003"/>
        </w:numPr>
        <w:bidi/>
      </w:pPr>
      <w:r>
        <w:rPr>
          <w:b/>
          <w:bCs/>
          <w:rtl/>
        </w:rPr>
        <w:t xml:space="preserve">الإنفاق الدفاعي هو القيد الأكبر:</w:t>
      </w:r>
      <w:r>
        <w:rPr>
          <w:rtl/>
        </w:rPr>
        <w:t xml:space="preserve"> </w:t>
      </w:r>
      <w:r>
        <w:rPr>
          <w:rtl/>
        </w:rPr>
        <w:t xml:space="preserve">حتى عند سقف 5% من الناتج، يستهلك الدفاع أغلب الإيرادات الذاتية في السنوات الأولى.</w:t>
      </w:r>
    </w:p>
    <w:p>
      <w:pPr>
        <w:pStyle w:val="Compact"/>
        <w:numPr>
          <w:ilvl w:val="0"/>
          <w:numId w:val="1003"/>
        </w:numPr>
        <w:bidi/>
      </w:pPr>
      <w:r>
        <w:rPr>
          <w:b/>
          <w:bCs/>
          <w:rtl/>
        </w:rPr>
        <w:t xml:space="preserve">الإيرادات هي عنق الزجاجة:</w:t>
      </w:r>
      <w:r>
        <w:rPr>
          <w:rtl/>
        </w:rPr>
        <w:t xml:space="preserve"> </w:t>
      </w:r>
      <w:r>
        <w:rPr>
          <w:rtl/>
        </w:rPr>
        <w:t xml:space="preserve">كل نقطة مئوية إضافية في نسبة الإيرادات إلى الناتج تضيف نحو 700 مليون دولار سنوياً في السنة الثالثة.</w:t>
      </w:r>
    </w:p>
    <w:p>
      <w:pPr>
        <w:pStyle w:val="FirstParagraph"/>
        <w:bidi/>
      </w:pPr>
      <w:r>
        <w:rPr>
          <w:b/>
          <w:bCs/>
          <w:rtl/>
        </w:rPr>
        <w:t xml:space="preserve">والقواعد المالية:</w:t>
      </w:r>
      <w:r>
        <w:rPr>
          <w:rtl/>
        </w:rPr>
        <w:t xml:space="preserve"> </w:t>
      </w:r>
      <w:r>
        <w:rPr>
          <w:rtl/>
        </w:rPr>
        <w:t xml:space="preserve">لا طباعة للنقود لتمويل العجز إلا في حدود ضيقة ومعلنة؛ لا قروض مضمونة بالموارد قبل استخراجها؛ لا اتفاقيات تمويل غير منشورة؛ وترتيب صارم للأولويات عند شح الموارد: منع المجاعة والصحة العاجلة، ثم رواتب المعلمين والأطباء، ثم مدخلات الزراعة، ثم الإعمار العاجل.</w:t>
      </w:r>
    </w:p>
    <w:p>
      <w:pPr>
        <w:bidi/>
      </w:pPr>
      <w:r>
        <w:rPr>
          <w:rtl/>
        </w:rPr>
        <w:br w:type="page"/>
      </w:r>
    </w:p>
    <w:bookmarkEnd w:id="36"/>
    <w:bookmarkStart w:id="37" w:name="تاسعا-إدارة-المخاطر"/>
    <w:p>
      <w:pPr>
        <w:pStyle w:val="Heading1"/>
        <w:bidi/>
      </w:pPr>
      <w:r>
        <w:rPr>
          <w:rtl/>
        </w:rPr>
        <w:t xml:space="preserve">تاسعاً: إدارة المخاطر</w:t>
      </w:r>
    </w:p>
    <w:p>
      <w:pPr>
        <w:pStyle w:val="FirstParagraph"/>
        <w:bidi/>
      </w:pPr>
      <w:r>
        <w:rPr>
          <w:rtl/>
        </w:rPr>
        <w:t xml:space="preserve">يتحول سجل المخاطر من جدول وصفي إلى</w:t>
      </w:r>
      <w:r>
        <w:rPr>
          <w:rtl/>
        </w:rPr>
        <w:t xml:space="preserve"> </w:t>
      </w:r>
      <w:r>
        <w:rPr>
          <w:b/>
          <w:bCs/>
          <w:rtl/>
        </w:rPr>
        <w:t xml:space="preserve">أداة إدارة</w:t>
      </w:r>
      <w:r>
        <w:rPr>
          <w:rtl/>
        </w:rPr>
        <w:t xml:space="preserve">: لكل خطر مالك يُسأل عنه، وحد تدخل محدد، وقرار مفوّض يُتخذ فور بلوغ الحد، وموارد احتياطية مخصصة.</w:t>
      </w:r>
    </w:p>
    <w:tbl>
      <w:tblPr>
        <w:tblStyle w:val="Table"/>
        <w:bidiVisual/>
        <w:tblW w:w="5000" w:type="pct"/>
        <w:jc w:val="start"/>
        <w:tblLook w:val="04A0" w:firstRow="1" w:lastRow="0" w:firstColumn="0" w:lastColumn="0" w:noHBand="0" w:noVBand="1"/>
      </w:tblPr>
      <w:tblGrid>
        <w:gridCol w:w="1320"/>
        <w:gridCol w:w="1320"/>
        <w:gridCol w:w="1320"/>
        <w:gridCol w:w="1320"/>
        <w:gridCol w:w="1320"/>
        <w:gridCol w:w="1320"/>
      </w:tblGrid>
      <w:tr>
        <w:trPr>
          <w:tblHeader w:val="true"/>
        </w:trPr>
        <w:tc>
          <w:tcPr/>
          <w:p>
            <w:pPr>
              <w:pStyle w:val="Compact"/>
              <w:bidi/>
              <w:jc w:val="left"/>
            </w:pPr>
            <w:r>
              <w:rPr>
                <w:rtl/>
              </w:rPr>
              <w:t xml:space="preserve">الخطر</w:t>
            </w:r>
          </w:p>
        </w:tc>
        <w:tc>
          <w:tcPr/>
          <w:p>
            <w:pPr>
              <w:pStyle w:val="Compact"/>
              <w:bidi/>
              <w:jc w:val="left"/>
            </w:pPr>
            <w:r>
              <w:rPr>
                <w:rtl/>
              </w:rPr>
              <w:t xml:space="preserve">المالك</w:t>
            </w:r>
          </w:p>
        </w:tc>
        <w:tc>
          <w:tcPr/>
          <w:p>
            <w:pPr>
              <w:pStyle w:val="Compact"/>
              <w:bidi/>
              <w:jc w:val="left"/>
            </w:pPr>
            <w:r>
              <w:rPr>
                <w:rtl/>
              </w:rPr>
              <w:t xml:space="preserve">مؤشر الإنذار</w:t>
            </w:r>
          </w:p>
        </w:tc>
        <w:tc>
          <w:tcPr/>
          <w:p>
            <w:pPr>
              <w:pStyle w:val="Compact"/>
              <w:bidi/>
              <w:jc w:val="left"/>
            </w:pPr>
            <w:r>
              <w:rPr>
                <w:rtl/>
              </w:rPr>
              <w:t xml:space="preserve">حد التدخل</w:t>
            </w:r>
          </w:p>
        </w:tc>
        <w:tc>
          <w:tcPr/>
          <w:p>
            <w:pPr>
              <w:pStyle w:val="Compact"/>
              <w:bidi/>
              <w:jc w:val="left"/>
            </w:pPr>
            <w:r>
              <w:rPr>
                <w:rtl/>
              </w:rPr>
              <w:t xml:space="preserve">القرار المفوّض</w:t>
            </w:r>
          </w:p>
        </w:tc>
        <w:tc>
          <w:tcPr/>
          <w:p>
            <w:pPr>
              <w:pStyle w:val="Compact"/>
              <w:bidi/>
              <w:jc w:val="left"/>
            </w:pPr>
            <w:r>
              <w:rPr>
                <w:rtl/>
              </w:rPr>
              <w:t xml:space="preserve">الموارد الاحتياطية</w:t>
            </w:r>
          </w:p>
        </w:tc>
      </w:tr>
      <w:tr>
        <w:tc>
          <w:tcPr/>
          <w:p>
            <w:pPr>
              <w:pStyle w:val="Compact"/>
              <w:bidi/>
              <w:jc w:val="left"/>
            </w:pPr>
            <w:r>
              <w:rPr>
                <w:b/>
                <w:bCs/>
                <w:rtl/>
              </w:rPr>
              <w:t xml:space="preserve">تجدد القتال</w:t>
            </w:r>
          </w:p>
        </w:tc>
        <w:tc>
          <w:tcPr/>
          <w:p>
            <w:pPr>
              <w:pStyle w:val="Compact"/>
              <w:bidi/>
              <w:jc w:val="left"/>
            </w:pPr>
            <w:r>
              <w:rPr>
                <w:rtl/>
              </w:rPr>
              <w:t xml:space="preserve">مجلس الأمن والدفاع</w:t>
            </w:r>
          </w:p>
        </w:tc>
        <w:tc>
          <w:tcPr/>
          <w:p>
            <w:pPr>
              <w:pStyle w:val="Compact"/>
              <w:bidi/>
              <w:jc w:val="left"/>
            </w:pPr>
            <w:r>
              <w:rPr>
                <w:rtl/>
              </w:rPr>
              <w:t xml:space="preserve">خروقات موثقة لوقف النار</w:t>
            </w:r>
          </w:p>
        </w:tc>
        <w:tc>
          <w:tcPr/>
          <w:p>
            <w:pPr>
              <w:pStyle w:val="Compact"/>
              <w:bidi/>
              <w:jc w:val="left"/>
            </w:pPr>
            <w:r>
              <w:rPr>
                <w:rtl/>
              </w:rPr>
              <w:t xml:space="preserve">ثلاث خروقات كبرى في شهر</w:t>
            </w:r>
          </w:p>
        </w:tc>
        <w:tc>
          <w:tcPr/>
          <w:p>
            <w:pPr>
              <w:pStyle w:val="Compact"/>
              <w:bidi/>
              <w:jc w:val="left"/>
            </w:pPr>
            <w:r>
              <w:rPr>
                <w:rtl/>
              </w:rPr>
              <w:t xml:space="preserve">تفعيل آلية المراقبة، وطلب تدخل الوسطاء، وخطة حماية المدنيين</w:t>
            </w:r>
          </w:p>
        </w:tc>
        <w:tc>
          <w:tcPr/>
          <w:p>
            <w:pPr>
              <w:pStyle w:val="Compact"/>
              <w:bidi/>
              <w:jc w:val="left"/>
            </w:pPr>
            <w:r>
              <w:rPr>
                <w:rtl/>
              </w:rPr>
              <w:t xml:space="preserve">احتياطي إنساني طارئ</w:t>
            </w:r>
          </w:p>
        </w:tc>
      </w:tr>
      <w:tr>
        <w:tc>
          <w:tcPr/>
          <w:p>
            <w:pPr>
              <w:pStyle w:val="Compact"/>
              <w:bidi/>
              <w:jc w:val="left"/>
            </w:pPr>
            <w:r>
              <w:rPr>
                <w:b/>
                <w:bCs/>
                <w:rtl/>
              </w:rPr>
              <w:t xml:space="preserve">مقاومة الإصلاح الأمني</w:t>
            </w:r>
          </w:p>
        </w:tc>
        <w:tc>
          <w:tcPr/>
          <w:p>
            <w:pPr>
              <w:pStyle w:val="Compact"/>
              <w:bidi/>
              <w:jc w:val="left"/>
            </w:pPr>
            <w:r>
              <w:rPr>
                <w:rtl/>
              </w:rPr>
              <w:t xml:space="preserve">وزير الدفاع</w:t>
            </w:r>
          </w:p>
        </w:tc>
        <w:tc>
          <w:tcPr/>
          <w:p>
            <w:pPr>
              <w:pStyle w:val="Compact"/>
              <w:bidi/>
              <w:jc w:val="left"/>
            </w:pPr>
            <w:r>
              <w:rPr>
                <w:rtl/>
              </w:rPr>
              <w:t xml:space="preserve">تعطيل تسجيل المقاتلين أو حصر الشركات</w:t>
            </w:r>
          </w:p>
        </w:tc>
        <w:tc>
          <w:tcPr/>
          <w:p>
            <w:pPr>
              <w:pStyle w:val="Compact"/>
              <w:bidi/>
              <w:jc w:val="left"/>
            </w:pPr>
            <w:r>
              <w:rPr>
                <w:rtl/>
              </w:rPr>
              <w:t xml:space="preserve">تأخر شهرين عن الجدول</w:t>
            </w:r>
          </w:p>
        </w:tc>
        <w:tc>
          <w:tcPr/>
          <w:p>
            <w:pPr>
              <w:pStyle w:val="Compact"/>
              <w:bidi/>
              <w:jc w:val="left"/>
            </w:pPr>
            <w:r>
              <w:rPr>
                <w:rtl/>
              </w:rPr>
              <w:t xml:space="preserve">رفع الأمر إلى مجلس الأمن والدفاع والجمعية التأسيسية علناً</w:t>
            </w:r>
          </w:p>
        </w:tc>
        <w:tc>
          <w:tcPr/>
          <w:p>
            <w:pPr>
              <w:pStyle w:val="Compact"/>
              <w:bidi/>
              <w:jc w:val="left"/>
            </w:pPr>
            <w:r>
              <w:rPr>
                <w:rtl/>
              </w:rPr>
              <w:t xml:space="preserve">دعم الشركاء لإصلاح قطاع الأمن</w:t>
            </w:r>
          </w:p>
        </w:tc>
      </w:tr>
      <w:tr>
        <w:tc>
          <w:tcPr/>
          <w:p>
            <w:pPr>
              <w:pStyle w:val="Compact"/>
              <w:bidi/>
              <w:jc w:val="left"/>
            </w:pPr>
            <w:r>
              <w:rPr>
                <w:b/>
                <w:bCs/>
                <w:rtl/>
              </w:rPr>
              <w:t xml:space="preserve">انهيار مالي</w:t>
            </w:r>
          </w:p>
        </w:tc>
        <w:tc>
          <w:tcPr/>
          <w:p>
            <w:pPr>
              <w:pStyle w:val="Compact"/>
              <w:bidi/>
              <w:jc w:val="left"/>
            </w:pPr>
            <w:r>
              <w:rPr>
                <w:rtl/>
              </w:rPr>
              <w:t xml:space="preserve">وزير المالية</w:t>
            </w:r>
          </w:p>
        </w:tc>
        <w:tc>
          <w:tcPr/>
          <w:p>
            <w:pPr>
              <w:pStyle w:val="Compact"/>
              <w:bidi/>
              <w:jc w:val="left"/>
            </w:pPr>
            <w:r>
              <w:rPr>
                <w:rtl/>
              </w:rPr>
              <w:t xml:space="preserve">التأخر في دفع الرواتب؛ تراجع سعر الصرف</w:t>
            </w:r>
          </w:p>
        </w:tc>
        <w:tc>
          <w:tcPr/>
          <w:p>
            <w:pPr>
              <w:pStyle w:val="Compact"/>
              <w:bidi/>
              <w:jc w:val="left"/>
            </w:pPr>
            <w:r>
              <w:rPr>
                <w:rtl/>
              </w:rPr>
              <w:t xml:space="preserve">تأخر الرواتب أكثر من 30 يوماً</w:t>
            </w:r>
          </w:p>
        </w:tc>
        <w:tc>
          <w:tcPr/>
          <w:p>
            <w:pPr>
              <w:pStyle w:val="Compact"/>
              <w:bidi/>
              <w:jc w:val="left"/>
            </w:pPr>
            <w:r>
              <w:rPr>
                <w:rtl/>
              </w:rPr>
              <w:t xml:space="preserve">تجميد الإنفاق غير الضروري، وطلب دعم عاجل للموازنة</w:t>
            </w:r>
          </w:p>
        </w:tc>
        <w:tc>
          <w:tcPr/>
          <w:p>
            <w:pPr>
              <w:pStyle w:val="Compact"/>
              <w:bidi/>
              <w:jc w:val="left"/>
            </w:pPr>
            <w:r>
              <w:rPr>
                <w:rtl/>
              </w:rPr>
              <w:t xml:space="preserve">احتياطي نقدي لثلاثة أشهر من الرواتب</w:t>
            </w:r>
          </w:p>
        </w:tc>
      </w:tr>
      <w:tr>
        <w:tc>
          <w:tcPr/>
          <w:p>
            <w:pPr>
              <w:pStyle w:val="Compact"/>
              <w:bidi/>
              <w:jc w:val="left"/>
            </w:pPr>
            <w:r>
              <w:rPr>
                <w:b/>
                <w:bCs/>
                <w:rtl/>
              </w:rPr>
              <w:t xml:space="preserve">تأخر التمويل الخارجي</w:t>
            </w:r>
          </w:p>
        </w:tc>
        <w:tc>
          <w:tcPr/>
          <w:p>
            <w:pPr>
              <w:pStyle w:val="Compact"/>
              <w:bidi/>
              <w:jc w:val="left"/>
            </w:pPr>
            <w:r>
              <w:rPr>
                <w:rtl/>
              </w:rPr>
              <w:t xml:space="preserve">وزير الخارجية والتعاون الدولي</w:t>
            </w:r>
          </w:p>
        </w:tc>
        <w:tc>
          <w:tcPr/>
          <w:p>
            <w:pPr>
              <w:pStyle w:val="Compact"/>
              <w:bidi/>
              <w:jc w:val="left"/>
            </w:pPr>
            <w:r>
              <w:rPr>
                <w:rtl/>
              </w:rPr>
              <w:t xml:space="preserve">تأخر صرف التعهدات</w:t>
            </w:r>
          </w:p>
        </w:tc>
        <w:tc>
          <w:tcPr/>
          <w:p>
            <w:pPr>
              <w:pStyle w:val="Compact"/>
              <w:bidi/>
              <w:jc w:val="left"/>
            </w:pPr>
            <w:r>
              <w:rPr>
                <w:rtl/>
              </w:rPr>
              <w:t xml:space="preserve">صرف أقل من 50% من التعهدات السنوية في منتصف السنة</w:t>
            </w:r>
          </w:p>
        </w:tc>
        <w:tc>
          <w:tcPr/>
          <w:p>
            <w:pPr>
              <w:pStyle w:val="Compact"/>
              <w:bidi/>
              <w:jc w:val="left"/>
            </w:pPr>
            <w:r>
              <w:rPr>
                <w:rtl/>
              </w:rPr>
              <w:t xml:space="preserve">إعادة ترتيب البرامج، ومؤتمر عاجل للشركاء</w:t>
            </w:r>
          </w:p>
        </w:tc>
        <w:tc>
          <w:tcPr/>
          <w:p>
            <w:pPr>
              <w:pStyle w:val="Compact"/>
              <w:bidi/>
              <w:jc w:val="left"/>
            </w:pPr>
            <w:r>
              <w:rPr>
                <w:rtl/>
              </w:rPr>
              <w:t xml:space="preserve">—</w:t>
            </w:r>
          </w:p>
        </w:tc>
      </w:tr>
      <w:tr>
        <w:tc>
          <w:tcPr/>
          <w:p>
            <w:pPr>
              <w:pStyle w:val="Compact"/>
              <w:bidi/>
              <w:jc w:val="left"/>
            </w:pPr>
            <w:r>
              <w:rPr>
                <w:b/>
                <w:bCs/>
                <w:rtl/>
              </w:rPr>
              <w:t xml:space="preserve">خلاف المركز والأقاليم</w:t>
            </w:r>
          </w:p>
        </w:tc>
        <w:tc>
          <w:tcPr/>
          <w:p>
            <w:pPr>
              <w:pStyle w:val="Compact"/>
              <w:bidi/>
              <w:jc w:val="left"/>
            </w:pPr>
            <w:r>
              <w:rPr>
                <w:rtl/>
              </w:rPr>
              <w:t xml:space="preserve">رئيس الوزراء</w:t>
            </w:r>
          </w:p>
        </w:tc>
        <w:tc>
          <w:tcPr/>
          <w:p>
            <w:pPr>
              <w:pStyle w:val="Compact"/>
              <w:bidi/>
              <w:jc w:val="left"/>
            </w:pPr>
            <w:r>
              <w:rPr>
                <w:rtl/>
              </w:rPr>
              <w:t xml:space="preserve">تعطل نقل الصلاحيات أو التحويلات</w:t>
            </w:r>
          </w:p>
        </w:tc>
        <w:tc>
          <w:tcPr/>
          <w:p>
            <w:pPr>
              <w:pStyle w:val="Compact"/>
              <w:bidi/>
              <w:jc w:val="left"/>
            </w:pPr>
            <w:r>
              <w:rPr>
                <w:rtl/>
              </w:rPr>
              <w:t xml:space="preserve">خلاف لم يُحل في مجلس الحكام</w:t>
            </w:r>
          </w:p>
        </w:tc>
        <w:tc>
          <w:tcPr/>
          <w:p>
            <w:pPr>
              <w:pStyle w:val="Compact"/>
              <w:bidi/>
              <w:jc w:val="left"/>
            </w:pPr>
            <w:r>
              <w:rPr>
                <w:rtl/>
              </w:rPr>
              <w:t xml:space="preserve">إحالة إلى المحكمة الدستورية</w:t>
            </w:r>
          </w:p>
        </w:tc>
        <w:tc>
          <w:tcPr/>
          <w:p>
            <w:pPr>
              <w:pStyle w:val="Compact"/>
              <w:bidi/>
              <w:jc w:val="left"/>
            </w:pPr>
            <w:r>
              <w:rPr>
                <w:rtl/>
              </w:rPr>
              <w:t xml:space="preserve">—</w:t>
            </w:r>
          </w:p>
        </w:tc>
      </w:tr>
      <w:tr>
        <w:tc>
          <w:tcPr/>
          <w:p>
            <w:pPr>
              <w:pStyle w:val="Compact"/>
              <w:bidi/>
              <w:jc w:val="left"/>
            </w:pPr>
            <w:r>
              <w:rPr>
                <w:b/>
                <w:bCs/>
                <w:rtl/>
              </w:rPr>
              <w:t xml:space="preserve">انسحاب قوى من الحوار</w:t>
            </w:r>
          </w:p>
        </w:tc>
        <w:tc>
          <w:tcPr/>
          <w:p>
            <w:pPr>
              <w:pStyle w:val="Compact"/>
              <w:bidi/>
              <w:jc w:val="left"/>
            </w:pPr>
            <w:r>
              <w:rPr>
                <w:rtl/>
              </w:rPr>
              <w:t xml:space="preserve">الهيئة المستقلة للحوار</w:t>
            </w:r>
          </w:p>
        </w:tc>
        <w:tc>
          <w:tcPr/>
          <w:p>
            <w:pPr>
              <w:pStyle w:val="Compact"/>
              <w:bidi/>
              <w:jc w:val="left"/>
            </w:pPr>
            <w:r>
              <w:rPr>
                <w:rtl/>
              </w:rPr>
              <w:t xml:space="preserve">مقاطعة الجلسات</w:t>
            </w:r>
          </w:p>
        </w:tc>
        <w:tc>
          <w:tcPr/>
          <w:p>
            <w:pPr>
              <w:pStyle w:val="Compact"/>
              <w:bidi/>
              <w:jc w:val="left"/>
            </w:pPr>
            <w:r>
              <w:rPr>
                <w:rtl/>
              </w:rPr>
              <w:t xml:space="preserve">انسحاب قوة رئيسية</w:t>
            </w:r>
          </w:p>
        </w:tc>
        <w:tc>
          <w:tcPr/>
          <w:p>
            <w:pPr>
              <w:pStyle w:val="Compact"/>
              <w:bidi/>
              <w:jc w:val="left"/>
            </w:pPr>
            <w:r>
              <w:rPr>
                <w:rtl/>
              </w:rPr>
              <w:t xml:space="preserve">وساطة مجتمعية، واستمرار الحوار بمن حضر مع إبقاء الباب مفتوحاً</w:t>
            </w:r>
          </w:p>
        </w:tc>
        <w:tc>
          <w:tcPr/>
          <w:p>
            <w:pPr>
              <w:pStyle w:val="Compact"/>
              <w:bidi/>
              <w:jc w:val="left"/>
            </w:pPr>
            <w:r>
              <w:rPr>
                <w:rtl/>
              </w:rPr>
              <w:t xml:space="preserve">—</w:t>
            </w:r>
          </w:p>
        </w:tc>
      </w:tr>
      <w:tr>
        <w:tc>
          <w:tcPr/>
          <w:p>
            <w:pPr>
              <w:pStyle w:val="Compact"/>
              <w:bidi/>
              <w:jc w:val="left"/>
            </w:pPr>
            <w:r>
              <w:rPr>
                <w:b/>
                <w:bCs/>
                <w:rtl/>
              </w:rPr>
              <w:t xml:space="preserve">مجاعة أو أوبئة</w:t>
            </w:r>
          </w:p>
        </w:tc>
        <w:tc>
          <w:tcPr/>
          <w:p>
            <w:pPr>
              <w:pStyle w:val="Compact"/>
              <w:bidi/>
              <w:jc w:val="left"/>
            </w:pPr>
            <w:r>
              <w:rPr>
                <w:rtl/>
              </w:rPr>
              <w:t xml:space="preserve">وزير الصحة والتنمية الاجتماعية</w:t>
            </w:r>
          </w:p>
        </w:tc>
        <w:tc>
          <w:tcPr/>
          <w:p>
            <w:pPr>
              <w:pStyle w:val="Compact"/>
              <w:bidi/>
              <w:jc w:val="left"/>
            </w:pPr>
            <w:r>
              <w:rPr>
                <w:rtl/>
              </w:rPr>
              <w:t xml:space="preserve">مؤشرات الأمن الغذائي؛ تفشي الكوليرا</w:t>
            </w:r>
          </w:p>
        </w:tc>
        <w:tc>
          <w:tcPr/>
          <w:p>
            <w:pPr>
              <w:pStyle w:val="Compact"/>
              <w:bidi/>
              <w:jc w:val="left"/>
            </w:pPr>
            <w:r>
              <w:rPr>
                <w:rtl/>
              </w:rPr>
              <w:t xml:space="preserve">إعلان حالة المجاعة في أي محلية</w:t>
            </w:r>
          </w:p>
        </w:tc>
        <w:tc>
          <w:tcPr/>
          <w:p>
            <w:pPr>
              <w:pStyle w:val="Compact"/>
              <w:bidi/>
              <w:jc w:val="left"/>
            </w:pPr>
            <w:r>
              <w:rPr>
                <w:rtl/>
              </w:rPr>
              <w:t xml:space="preserve">خطة الطوارئ، ونداء دولي عاجل</w:t>
            </w:r>
          </w:p>
        </w:tc>
        <w:tc>
          <w:tcPr/>
          <w:p>
            <w:pPr>
              <w:pStyle w:val="Compact"/>
              <w:bidi/>
              <w:jc w:val="left"/>
            </w:pPr>
            <w:r>
              <w:rPr>
                <w:rtl/>
              </w:rPr>
              <w:t xml:space="preserve">مخزون استراتيجي من الغذاء والدواء</w:t>
            </w:r>
          </w:p>
        </w:tc>
      </w:tr>
      <w:tr>
        <w:tc>
          <w:tcPr/>
          <w:p>
            <w:pPr>
              <w:pStyle w:val="Compact"/>
              <w:bidi/>
              <w:jc w:val="left"/>
            </w:pPr>
            <w:r>
              <w:rPr>
                <w:b/>
                <w:bCs/>
                <w:rtl/>
              </w:rPr>
              <w:t xml:space="preserve">تعذر التعداد</w:t>
            </w:r>
          </w:p>
        </w:tc>
        <w:tc>
          <w:tcPr/>
          <w:p>
            <w:pPr>
              <w:pStyle w:val="Compact"/>
              <w:bidi/>
              <w:jc w:val="left"/>
            </w:pPr>
            <w:r>
              <w:rPr>
                <w:rtl/>
              </w:rPr>
              <w:t xml:space="preserve">مفوضية التعداد والانتخابات</w:t>
            </w:r>
          </w:p>
        </w:tc>
        <w:tc>
          <w:tcPr/>
          <w:p>
            <w:pPr>
              <w:pStyle w:val="Compact"/>
              <w:bidi/>
              <w:jc w:val="left"/>
            </w:pPr>
            <w:r>
              <w:rPr>
                <w:rtl/>
              </w:rPr>
              <w:t xml:space="preserve">تأخر العمل الميداني</w:t>
            </w:r>
          </w:p>
        </w:tc>
        <w:tc>
          <w:tcPr/>
          <w:p>
            <w:pPr>
              <w:pStyle w:val="Compact"/>
              <w:bidi/>
              <w:jc w:val="left"/>
            </w:pPr>
            <w:r>
              <w:rPr>
                <w:rtl/>
              </w:rPr>
              <w:t xml:space="preserve">تغطية أقل من 60% في الشهر 18</w:t>
            </w:r>
          </w:p>
        </w:tc>
        <w:tc>
          <w:tcPr/>
          <w:p>
            <w:pPr>
              <w:pStyle w:val="Compact"/>
              <w:bidi/>
              <w:jc w:val="left"/>
            </w:pPr>
            <w:r>
              <w:rPr>
                <w:rtl/>
              </w:rPr>
              <w:t xml:space="preserve">اعتماد البديل فوراً</w:t>
            </w:r>
          </w:p>
        </w:tc>
        <w:tc>
          <w:tcPr/>
          <w:p>
            <w:pPr>
              <w:pStyle w:val="Compact"/>
              <w:bidi/>
              <w:jc w:val="left"/>
            </w:pPr>
            <w:r>
              <w:rPr>
                <w:rtl/>
              </w:rPr>
              <w:t xml:space="preserve">—</w:t>
            </w:r>
          </w:p>
        </w:tc>
      </w:tr>
      <w:tr>
        <w:tc>
          <w:tcPr/>
          <w:p>
            <w:pPr>
              <w:pStyle w:val="Compact"/>
              <w:bidi/>
              <w:jc w:val="left"/>
            </w:pPr>
            <w:r>
              <w:rPr>
                <w:b/>
                <w:bCs/>
                <w:rtl/>
              </w:rPr>
              <w:t xml:space="preserve">فساد في أموال الإعمار</w:t>
            </w:r>
          </w:p>
        </w:tc>
        <w:tc>
          <w:tcPr/>
          <w:p>
            <w:pPr>
              <w:pStyle w:val="Compact"/>
              <w:bidi/>
              <w:jc w:val="left"/>
            </w:pPr>
            <w:r>
              <w:rPr>
                <w:rtl/>
              </w:rPr>
              <w:t xml:space="preserve">المكتب المركزي لمكافحة الفساد</w:t>
            </w:r>
          </w:p>
        </w:tc>
        <w:tc>
          <w:tcPr/>
          <w:p>
            <w:pPr>
              <w:pStyle w:val="Compact"/>
              <w:bidi/>
              <w:jc w:val="left"/>
            </w:pPr>
            <w:r>
              <w:rPr>
                <w:rtl/>
              </w:rPr>
              <w:t xml:space="preserve">عقود غير منشورة؛ شكاوى المبلّغين</w:t>
            </w:r>
          </w:p>
        </w:tc>
        <w:tc>
          <w:tcPr/>
          <w:p>
            <w:pPr>
              <w:pStyle w:val="Compact"/>
              <w:bidi/>
              <w:jc w:val="left"/>
            </w:pPr>
            <w:r>
              <w:rPr>
                <w:rtl/>
              </w:rPr>
              <w:t xml:space="preserve">أي عقد غير منشور خلال 30 يوماً من توقيعه</w:t>
            </w:r>
          </w:p>
        </w:tc>
        <w:tc>
          <w:tcPr/>
          <w:p>
            <w:pPr>
              <w:pStyle w:val="Compact"/>
              <w:bidi/>
              <w:jc w:val="left"/>
            </w:pPr>
            <w:r>
              <w:rPr>
                <w:rtl/>
              </w:rPr>
              <w:t xml:space="preserve">تجميد الصرف والتحقيق</w:t>
            </w:r>
          </w:p>
        </w:tc>
        <w:tc>
          <w:tcPr/>
          <w:p>
            <w:pPr>
              <w:pStyle w:val="Compact"/>
              <w:bidi/>
              <w:jc w:val="left"/>
            </w:pPr>
            <w:r>
              <w:rPr>
                <w:rtl/>
              </w:rPr>
              <w:t xml:space="preserve">—</w:t>
            </w:r>
          </w:p>
        </w:tc>
      </w:tr>
      <w:tr>
        <w:tc>
          <w:tcPr/>
          <w:p>
            <w:pPr>
              <w:pStyle w:val="Compact"/>
              <w:bidi/>
              <w:jc w:val="left"/>
            </w:pPr>
            <w:r>
              <w:rPr>
                <w:b/>
                <w:bCs/>
                <w:rtl/>
              </w:rPr>
              <w:t xml:space="preserve">حملات التضليل</w:t>
            </w:r>
          </w:p>
        </w:tc>
        <w:tc>
          <w:tcPr/>
          <w:p>
            <w:pPr>
              <w:pStyle w:val="Compact"/>
              <w:bidi/>
              <w:jc w:val="left"/>
            </w:pPr>
            <w:r>
              <w:rPr>
                <w:rtl/>
              </w:rPr>
              <w:t xml:space="preserve">وزير الثقافة والإعلام</w:t>
            </w:r>
          </w:p>
        </w:tc>
        <w:tc>
          <w:tcPr/>
          <w:p>
            <w:pPr>
              <w:pStyle w:val="Compact"/>
              <w:bidi/>
              <w:jc w:val="left"/>
            </w:pPr>
            <w:r>
              <w:rPr>
                <w:rtl/>
              </w:rPr>
              <w:t xml:space="preserve">انتشار الشائعات والتحريض</w:t>
            </w:r>
          </w:p>
        </w:tc>
        <w:tc>
          <w:tcPr/>
          <w:p>
            <w:pPr>
              <w:pStyle w:val="Compact"/>
              <w:bidi/>
              <w:jc w:val="left"/>
            </w:pPr>
            <w:r>
              <w:rPr>
                <w:rtl/>
              </w:rPr>
              <w:t xml:space="preserve">تحريض على العنف في منطقة محددة</w:t>
            </w:r>
          </w:p>
        </w:tc>
        <w:tc>
          <w:tcPr/>
          <w:p>
            <w:pPr>
              <w:pStyle w:val="Compact"/>
              <w:bidi/>
              <w:jc w:val="left"/>
            </w:pPr>
            <w:r>
              <w:rPr>
                <w:rtl/>
              </w:rPr>
              <w:t xml:space="preserve">الناطق الرسمي، ونشر المعلومة خلال 24 ساعة، والإجراءات القانونية</w:t>
            </w:r>
          </w:p>
        </w:tc>
        <w:tc>
          <w:tcPr/>
          <w:p>
            <w:pPr>
              <w:pStyle w:val="Compact"/>
              <w:bidi/>
              <w:jc w:val="left"/>
            </w:pPr>
            <w:r>
              <w:rPr>
                <w:rtl/>
              </w:rPr>
              <w:t xml:space="preserve">—</w:t>
            </w:r>
          </w:p>
        </w:tc>
      </w:tr>
    </w:tbl>
    <w:p>
      <w:pPr>
        <w:bidi/>
      </w:pPr>
      <w:r>
        <w:rPr>
          <w:rtl/>
        </w:rPr>
        <w:br w:type="page"/>
      </w:r>
    </w:p>
    <w:bookmarkEnd w:id="37"/>
    <w:bookmarkStart w:id="40" w:name="عاشرا-المتابعة-والتقييم-والمساءلة"/>
    <w:p>
      <w:pPr>
        <w:pStyle w:val="Heading1"/>
        <w:bidi/>
      </w:pPr>
      <w:r>
        <w:rPr>
          <w:rtl/>
        </w:rPr>
        <w:t xml:space="preserve">عاشراً: المتابعة والتقييم والمساءلة</w:t>
      </w:r>
    </w:p>
    <w:bookmarkStart w:id="38" w:name="من-الإجراء-إلى-الأثر"/>
    <w:p>
      <w:pPr>
        <w:pStyle w:val="Heading2"/>
        <w:bidi/>
      </w:pPr>
      <w:r>
        <w:rPr>
          <w:rtl/>
        </w:rPr>
        <w:t xml:space="preserve">من الإجراء إلى الأثر</w:t>
      </w:r>
    </w:p>
    <w:p>
      <w:pPr>
        <w:pStyle w:val="FirstParagraph"/>
        <w:bidi/>
      </w:pPr>
      <w:r>
        <w:rPr>
          <w:rtl/>
        </w:rPr>
        <w:t xml:space="preserve">يقيس البرنامج الإنجاز على ثلاثة مستويات، ولا يكتفي بالأول:</w:t>
      </w:r>
    </w:p>
    <w:p>
      <w:pPr>
        <w:pStyle w:val="Compact"/>
        <w:numPr>
          <w:ilvl w:val="0"/>
          <w:numId w:val="1004"/>
        </w:numPr>
        <w:bidi/>
      </w:pPr>
      <w:r>
        <w:rPr>
          <w:b/>
          <w:bCs/>
          <w:rtl/>
        </w:rPr>
        <w:t xml:space="preserve">المخرجات:</w:t>
      </w:r>
      <w:r>
        <w:rPr>
          <w:rtl/>
        </w:rPr>
        <w:t xml:space="preserve"> </w:t>
      </w:r>
      <w:r>
        <w:rPr>
          <w:rtl/>
        </w:rPr>
        <w:t xml:space="preserve">ما تنفذه الحكومة مباشرة (مستشفى أُعيد تشغيله، قانون أُجيز).</w:t>
      </w:r>
    </w:p>
    <w:p>
      <w:pPr>
        <w:pStyle w:val="Compact"/>
        <w:numPr>
          <w:ilvl w:val="0"/>
          <w:numId w:val="1004"/>
        </w:numPr>
        <w:bidi/>
      </w:pPr>
      <w:r>
        <w:rPr>
          <w:b/>
          <w:bCs/>
          <w:rtl/>
        </w:rPr>
        <w:t xml:space="preserve">النتائج:</w:t>
      </w:r>
      <w:r>
        <w:rPr>
          <w:rtl/>
        </w:rPr>
        <w:t xml:space="preserve"> </w:t>
      </w:r>
      <w:r>
        <w:rPr>
          <w:rtl/>
        </w:rPr>
        <w:t xml:space="preserve">ما يتغير نتيجة ذلك (عدد المواطنين الذين يحصلون على الخدمة).</w:t>
      </w:r>
    </w:p>
    <w:p>
      <w:pPr>
        <w:pStyle w:val="Compact"/>
        <w:numPr>
          <w:ilvl w:val="0"/>
          <w:numId w:val="1004"/>
        </w:numPr>
        <w:bidi/>
      </w:pPr>
      <w:r>
        <w:rPr>
          <w:b/>
          <w:bCs/>
          <w:rtl/>
        </w:rPr>
        <w:t xml:space="preserve">الأثر:</w:t>
      </w:r>
      <w:r>
        <w:rPr>
          <w:rtl/>
        </w:rPr>
        <w:t xml:space="preserve"> </w:t>
      </w:r>
      <w:r>
        <w:rPr>
          <w:rtl/>
        </w:rPr>
        <w:t xml:space="preserve">ما يتغير في حياة الناس (انخفاض الوفيات والأمراض).</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القطاع</w:t>
            </w:r>
          </w:p>
        </w:tc>
        <w:tc>
          <w:tcPr/>
          <w:p>
            <w:pPr>
              <w:pStyle w:val="Compact"/>
              <w:bidi/>
              <w:jc w:val="left"/>
            </w:pPr>
            <w:r>
              <w:rPr>
                <w:rtl/>
              </w:rPr>
              <w:t xml:space="preserve">المخرج</w:t>
            </w:r>
          </w:p>
        </w:tc>
        <w:tc>
          <w:tcPr/>
          <w:p>
            <w:pPr>
              <w:pStyle w:val="Compact"/>
              <w:bidi/>
              <w:jc w:val="left"/>
            </w:pPr>
            <w:r>
              <w:rPr>
                <w:rtl/>
              </w:rPr>
              <w:t xml:space="preserve">النتيجة</w:t>
            </w:r>
          </w:p>
        </w:tc>
        <w:tc>
          <w:tcPr/>
          <w:p>
            <w:pPr>
              <w:pStyle w:val="Compact"/>
              <w:bidi/>
              <w:jc w:val="left"/>
            </w:pPr>
            <w:r>
              <w:rPr>
                <w:rtl/>
              </w:rPr>
              <w:t xml:space="preserve">الأثر</w:t>
            </w:r>
          </w:p>
        </w:tc>
      </w:tr>
      <w:tr>
        <w:tc>
          <w:tcPr/>
          <w:p>
            <w:pPr>
              <w:pStyle w:val="Compact"/>
              <w:bidi/>
              <w:jc w:val="left"/>
            </w:pPr>
            <w:r>
              <w:rPr>
                <w:b/>
                <w:bCs/>
                <w:rtl/>
              </w:rPr>
              <w:t xml:space="preserve">الصحة</w:t>
            </w:r>
          </w:p>
        </w:tc>
        <w:tc>
          <w:tcPr/>
          <w:p>
            <w:pPr>
              <w:pStyle w:val="Compact"/>
              <w:bidi/>
              <w:jc w:val="left"/>
            </w:pPr>
            <w:r>
              <w:rPr>
                <w:rtl/>
              </w:rPr>
              <w:t xml:space="preserve">إعادة تشغيل المستشفيات والمراكز الصحية</w:t>
            </w:r>
          </w:p>
        </w:tc>
        <w:tc>
          <w:tcPr/>
          <w:p>
            <w:pPr>
              <w:pStyle w:val="Compact"/>
              <w:bidi/>
              <w:jc w:val="left"/>
            </w:pPr>
            <w:r>
              <w:rPr>
                <w:rtl/>
              </w:rPr>
              <w:t xml:space="preserve">ارتفاع نسبة السكان القريبين من مرفق عامل</w:t>
            </w:r>
          </w:p>
        </w:tc>
        <w:tc>
          <w:tcPr/>
          <w:p>
            <w:pPr>
              <w:pStyle w:val="Compact"/>
              <w:bidi/>
              <w:jc w:val="left"/>
            </w:pPr>
            <w:r>
              <w:rPr>
                <w:rtl/>
              </w:rPr>
              <w:t xml:space="preserve">انخفاض وفيات الأطفال والأمهات</w:t>
            </w:r>
          </w:p>
        </w:tc>
      </w:tr>
      <w:tr>
        <w:tc>
          <w:tcPr/>
          <w:p>
            <w:pPr>
              <w:pStyle w:val="Compact"/>
              <w:bidi/>
              <w:jc w:val="left"/>
            </w:pPr>
            <w:r>
              <w:rPr>
                <w:b/>
                <w:bCs/>
                <w:rtl/>
              </w:rPr>
              <w:t xml:space="preserve">التعليم</w:t>
            </w:r>
          </w:p>
        </w:tc>
        <w:tc>
          <w:tcPr/>
          <w:p>
            <w:pPr>
              <w:pStyle w:val="Compact"/>
              <w:bidi/>
              <w:jc w:val="left"/>
            </w:pPr>
            <w:r>
              <w:rPr>
                <w:rtl/>
              </w:rPr>
              <w:t xml:space="preserve">إعادة فتح المدارس ودفع رواتب المعلمين</w:t>
            </w:r>
          </w:p>
        </w:tc>
        <w:tc>
          <w:tcPr/>
          <w:p>
            <w:pPr>
              <w:pStyle w:val="Compact"/>
              <w:bidi/>
              <w:jc w:val="left"/>
            </w:pPr>
            <w:r>
              <w:rPr>
                <w:rtl/>
              </w:rPr>
              <w:t xml:space="preserve">عودة الأطفال إلى الدراسة</w:t>
            </w:r>
          </w:p>
        </w:tc>
        <w:tc>
          <w:tcPr/>
          <w:p>
            <w:pPr>
              <w:pStyle w:val="Compact"/>
              <w:bidi/>
              <w:jc w:val="left"/>
            </w:pPr>
            <w:r>
              <w:rPr>
                <w:rtl/>
              </w:rPr>
              <w:t xml:space="preserve">ارتفاع معدلات القراءة والكتابة</w:t>
            </w:r>
          </w:p>
        </w:tc>
      </w:tr>
      <w:tr>
        <w:tc>
          <w:tcPr/>
          <w:p>
            <w:pPr>
              <w:pStyle w:val="Compact"/>
              <w:bidi/>
              <w:jc w:val="left"/>
            </w:pPr>
            <w:r>
              <w:rPr>
                <w:b/>
                <w:bCs/>
                <w:rtl/>
              </w:rPr>
              <w:t xml:space="preserve">الذهب</w:t>
            </w:r>
          </w:p>
        </w:tc>
        <w:tc>
          <w:tcPr/>
          <w:p>
            <w:pPr>
              <w:pStyle w:val="Compact"/>
              <w:bidi/>
              <w:jc w:val="left"/>
            </w:pPr>
            <w:r>
              <w:rPr>
                <w:rtl/>
              </w:rPr>
              <w:t xml:space="preserve">مراكز شراء حكومية وسعر عادل</w:t>
            </w:r>
          </w:p>
        </w:tc>
        <w:tc>
          <w:tcPr/>
          <w:p>
            <w:pPr>
              <w:pStyle w:val="Compact"/>
              <w:bidi/>
              <w:jc w:val="left"/>
            </w:pPr>
            <w:r>
              <w:rPr>
                <w:rtl/>
              </w:rPr>
              <w:t xml:space="preserve">ارتفاع الكميات المشتراة رسمياً</w:t>
            </w:r>
          </w:p>
        </w:tc>
        <w:tc>
          <w:tcPr/>
          <w:p>
            <w:pPr>
              <w:pStyle w:val="Compact"/>
              <w:bidi/>
              <w:jc w:val="left"/>
            </w:pPr>
            <w:r>
              <w:rPr>
                <w:rtl/>
              </w:rPr>
              <w:t xml:space="preserve">استقرار سعر الصرف وزيادة الإيرادات</w:t>
            </w:r>
          </w:p>
        </w:tc>
      </w:tr>
      <w:tr>
        <w:tc>
          <w:tcPr/>
          <w:p>
            <w:pPr>
              <w:pStyle w:val="Compact"/>
              <w:bidi/>
              <w:jc w:val="left"/>
            </w:pPr>
            <w:r>
              <w:rPr>
                <w:b/>
                <w:bCs/>
                <w:rtl/>
              </w:rPr>
              <w:t xml:space="preserve">الأمن</w:t>
            </w:r>
          </w:p>
        </w:tc>
        <w:tc>
          <w:tcPr/>
          <w:p>
            <w:pPr>
              <w:pStyle w:val="Compact"/>
              <w:bidi/>
              <w:jc w:val="left"/>
            </w:pPr>
            <w:r>
              <w:rPr>
                <w:rtl/>
              </w:rPr>
              <w:t xml:space="preserve">تسجيل المقاتلين ودمجهم أو تسريحهم</w:t>
            </w:r>
          </w:p>
        </w:tc>
        <w:tc>
          <w:tcPr/>
          <w:p>
            <w:pPr>
              <w:pStyle w:val="Compact"/>
              <w:bidi/>
              <w:jc w:val="left"/>
            </w:pPr>
            <w:r>
              <w:rPr>
                <w:rtl/>
              </w:rPr>
              <w:t xml:space="preserve">تراجع عدد المقاتلين خارج الدولة</w:t>
            </w:r>
          </w:p>
        </w:tc>
        <w:tc>
          <w:tcPr/>
          <w:p>
            <w:pPr>
              <w:pStyle w:val="Compact"/>
              <w:bidi/>
              <w:jc w:val="left"/>
            </w:pPr>
            <w:r>
              <w:rPr>
                <w:rtl/>
              </w:rPr>
              <w:t xml:space="preserve">انخفاض العنف المسلح</w:t>
            </w:r>
          </w:p>
        </w:tc>
      </w:tr>
    </w:tbl>
    <w:bookmarkEnd w:id="38"/>
    <w:bookmarkStart w:id="39" w:name="أدوات-المساءلة"/>
    <w:p>
      <w:pPr>
        <w:pStyle w:val="Heading2"/>
        <w:bidi/>
      </w:pPr>
      <w:r>
        <w:rPr>
          <w:rtl/>
        </w:rPr>
        <w:t xml:space="preserve">أدوات المساءلة</w:t>
      </w:r>
    </w:p>
    <w:p>
      <w:pPr>
        <w:pStyle w:val="Compact"/>
        <w:numPr>
          <w:ilvl w:val="0"/>
          <w:numId w:val="1005"/>
        </w:numPr>
        <w:bidi/>
      </w:pPr>
      <w:r>
        <w:rPr>
          <w:b/>
          <w:bCs/>
          <w:rtl/>
        </w:rPr>
        <w:t xml:space="preserve">لوحة متابعة علنية شهرية</w:t>
      </w:r>
      <w:r>
        <w:rPr>
          <w:rtl/>
        </w:rPr>
        <w:t xml:space="preserve"> </w:t>
      </w:r>
      <w:r>
        <w:rPr>
          <w:rtl/>
        </w:rPr>
        <w:t xml:space="preserve">تعرض حالة كل إجراء: منجز، أو جارٍ، أو متعثر، ولماذا.</w:t>
      </w:r>
    </w:p>
    <w:p>
      <w:pPr>
        <w:pStyle w:val="Compact"/>
        <w:numPr>
          <w:ilvl w:val="0"/>
          <w:numId w:val="1005"/>
        </w:numPr>
        <w:bidi/>
      </w:pPr>
      <w:r>
        <w:rPr>
          <w:b/>
          <w:bCs/>
          <w:rtl/>
        </w:rPr>
        <w:t xml:space="preserve">تقرير ربع سنوي أمام الجمعية التأسيسية الانتقالية</w:t>
      </w:r>
      <w:r>
        <w:rPr>
          <w:rtl/>
        </w:rPr>
        <w:t xml:space="preserve"> </w:t>
      </w:r>
      <w:r>
        <w:rPr>
          <w:rtl/>
        </w:rPr>
        <w:t xml:space="preserve">يقدمه رئيس الوزراء.</w:t>
      </w:r>
    </w:p>
    <w:p>
      <w:pPr>
        <w:pStyle w:val="Compact"/>
        <w:numPr>
          <w:ilvl w:val="0"/>
          <w:numId w:val="1005"/>
        </w:numPr>
        <w:bidi/>
      </w:pPr>
      <w:r>
        <w:rPr>
          <w:b/>
          <w:bCs/>
          <w:rtl/>
        </w:rPr>
        <w:t xml:space="preserve">تقييم عند كل بوابة زمنية</w:t>
      </w:r>
      <w:r>
        <w:rPr>
          <w:rtl/>
        </w:rPr>
        <w:t xml:space="preserve"> </w:t>
      </w:r>
      <w:r>
        <w:rPr>
          <w:rtl/>
        </w:rPr>
        <w:t xml:space="preserve">تشارك فيه الجمعية، ويُنشر.</w:t>
      </w:r>
    </w:p>
    <w:p>
      <w:pPr>
        <w:pStyle w:val="Compact"/>
        <w:numPr>
          <w:ilvl w:val="0"/>
          <w:numId w:val="1005"/>
        </w:numPr>
        <w:bidi/>
      </w:pPr>
      <w:r>
        <w:rPr>
          <w:b/>
          <w:bCs/>
          <w:rtl/>
        </w:rPr>
        <w:t xml:space="preserve">تقييم مستقل في منتصف الانتقال</w:t>
      </w:r>
      <w:r>
        <w:rPr>
          <w:rtl/>
        </w:rPr>
        <w:t xml:space="preserve"> </w:t>
      </w:r>
      <w:r>
        <w:rPr>
          <w:rtl/>
        </w:rPr>
        <w:t xml:space="preserve">تجريه جهة بحثية مستقلة.</w:t>
      </w:r>
    </w:p>
    <w:p>
      <w:pPr>
        <w:pStyle w:val="Compact"/>
        <w:numPr>
          <w:ilvl w:val="0"/>
          <w:numId w:val="1005"/>
        </w:numPr>
        <w:bidi/>
      </w:pPr>
      <w:r>
        <w:rPr>
          <w:b/>
          <w:bCs/>
          <w:rtl/>
        </w:rPr>
        <w:t xml:space="preserve">آليات لسماع المواطنين:</w:t>
      </w:r>
      <w:r>
        <w:rPr>
          <w:rtl/>
        </w:rPr>
        <w:t xml:space="preserve"> </w:t>
      </w:r>
      <w:r>
        <w:rPr>
          <w:rtl/>
        </w:rPr>
        <w:t xml:space="preserve">استطلاعات دورية، ومنصة شكاوى، وجلسات استماع في الأقاليم.</w:t>
      </w:r>
    </w:p>
    <w:p>
      <w:pPr>
        <w:pStyle w:val="Compact"/>
        <w:numPr>
          <w:ilvl w:val="0"/>
          <w:numId w:val="1005"/>
        </w:numPr>
        <w:bidi/>
      </w:pPr>
      <w:r>
        <w:rPr>
          <w:b/>
          <w:bCs/>
          <w:rtl/>
        </w:rPr>
        <w:t xml:space="preserve">مساءلة الوزراء بأسمائهم</w:t>
      </w:r>
      <w:r>
        <w:rPr>
          <w:rtl/>
        </w:rPr>
        <w:t xml:space="preserve"> </w:t>
      </w:r>
      <w:r>
        <w:rPr>
          <w:rtl/>
        </w:rPr>
        <w:t xml:space="preserve">عن مؤشرات وزاراتهم.</w:t>
      </w:r>
    </w:p>
    <w:p>
      <w:pPr>
        <w:bidi/>
      </w:pPr>
      <w:r>
        <w:rPr>
          <w:rtl/>
        </w:rPr>
        <w:br w:type="page"/>
      </w:r>
    </w:p>
    <w:bookmarkEnd w:id="39"/>
    <w:bookmarkEnd w:id="40"/>
    <w:bookmarkStart w:id="41" w:name="حادي-عشر-ما-يترك-للحكومة-المنتخبة"/>
    <w:p>
      <w:pPr>
        <w:pStyle w:val="Heading1"/>
        <w:bidi/>
      </w:pPr>
      <w:r>
        <w:rPr>
          <w:rtl/>
        </w:rPr>
        <w:t xml:space="preserve">حادي عشر: ما يُترك للحكومة المنتخبة</w:t>
      </w:r>
    </w:p>
    <w:p>
      <w:pPr>
        <w:pStyle w:val="FirstParagraph"/>
        <w:bidi/>
      </w:pPr>
      <w:r>
        <w:rPr>
          <w:rtl/>
        </w:rPr>
        <w:t xml:space="preserve">القرارات الاقتصادية الكبرى طويلة الأجل؛ واستكمال بيع الشركات المنقولة من الأجهزة النظامية؛ والسياسات القطاعية بعيدة المدى؛ والترتيبات الدائمة للحكم الإقليمي بعد الدستور الدائم.</w:t>
      </w:r>
    </w:p>
    <w:p>
      <w:pPr>
        <w:pStyle w:val="BodyText"/>
        <w:bidi/>
      </w:pPr>
      <w:r>
        <w:rPr>
          <w:b/>
          <w:bCs/>
          <w:rtl/>
        </w:rPr>
        <w:t xml:space="preserve">والمعيار:</w:t>
      </w:r>
      <w:r>
        <w:rPr>
          <w:rtl/>
        </w:rPr>
        <w:t xml:space="preserve"> </w:t>
      </w:r>
      <w:r>
        <w:rPr>
          <w:rtl/>
        </w:rPr>
        <w:t xml:space="preserve">إن كل ما تفعله الحكومة الانتقالية يجب أن يسهّل عمل الحكومة المنتخبة ولا يقيّده، وأن تسلّم في نهاية الانتقال دولة أقوى مما استلمت، ومؤسسات قادرة، وحسابات منشورة.</w:t>
      </w:r>
    </w:p>
    <w:p>
      <w:pPr>
        <w:bidi/>
      </w:pPr>
      <w:r>
        <w:rPr>
          <w:rtl/>
        </w:rPr>
        <w:br w:type="page"/>
      </w:r>
    </w:p>
    <w:bookmarkEnd w:id="41"/>
    <w:bookmarkStart w:id="42" w:name="الملحق-الأول-مصفوفة-التنفيذ"/>
    <w:p>
      <w:pPr>
        <w:pStyle w:val="Heading1"/>
        <w:bidi/>
      </w:pPr>
      <w:r>
        <w:rPr>
          <w:rtl/>
        </w:rPr>
        <w:t xml:space="preserve">الملحق الأول: مصفوفة التنفيذ</w:t>
      </w:r>
    </w:p>
    <w:p>
      <w:pPr>
        <w:pStyle w:val="FirstParagraph"/>
        <w:bidi/>
      </w:pPr>
      <w:r>
        <w:rPr>
          <w:i/>
          <w:iCs/>
          <w:rtl/>
        </w:rPr>
        <w:t xml:space="preserve">(أبرز الإجراءات. الكلفة «تُحدَّد» حيث تتوقف على المسح الأولي أو دراسة الجدوى. وتُحدَّث المصفوفة كل ثلاثة أشهر.)</w:t>
      </w:r>
    </w:p>
    <w:tbl>
      <w:tblPr>
        <w:tblStyle w:val="Table"/>
        <w:bidiVisual/>
        <w:tblW w:w="5000" w:type="pct"/>
        <w:jc w:val="start"/>
        <w:tblLook w:val="04A0" w:firstRow="1" w:lastRow="0" w:firstColumn="0" w:lastColumn="0" w:noHBand="0" w:noVBand="1"/>
      </w:tblPr>
      <w:tblGrid>
        <w:gridCol w:w="990"/>
        <w:gridCol w:w="990"/>
        <w:gridCol w:w="990"/>
        <w:gridCol w:w="990"/>
        <w:gridCol w:w="990"/>
        <w:gridCol w:w="990"/>
        <w:gridCol w:w="990"/>
        <w:gridCol w:w="990"/>
      </w:tblGrid>
      <w:tr>
        <w:trPr>
          <w:tblHeader w:val="true"/>
        </w:trPr>
        <w:tc>
          <w:tcPr/>
          <w:p>
            <w:pPr>
              <w:pStyle w:val="Compact"/>
              <w:bidi/>
              <w:jc w:val="left"/>
            </w:pPr>
            <w:r>
              <w:rPr>
                <w:rtl/>
              </w:rPr>
              <w:t xml:space="preserve">الإجراء</w:t>
            </w:r>
          </w:p>
        </w:tc>
        <w:tc>
          <w:tcPr/>
          <w:p>
            <w:pPr>
              <w:pStyle w:val="Compact"/>
              <w:bidi/>
              <w:jc w:val="left"/>
            </w:pPr>
            <w:r>
              <w:rPr>
                <w:rtl/>
              </w:rPr>
              <w:t xml:space="preserve">الجهة</w:t>
            </w:r>
          </w:p>
        </w:tc>
        <w:tc>
          <w:tcPr/>
          <w:p>
            <w:pPr>
              <w:pStyle w:val="Compact"/>
              <w:bidi/>
              <w:jc w:val="left"/>
            </w:pPr>
            <w:r>
              <w:rPr>
                <w:rtl/>
              </w:rPr>
              <w:t xml:space="preserve">الشركاء</w:t>
            </w:r>
          </w:p>
        </w:tc>
        <w:tc>
          <w:tcPr/>
          <w:p>
            <w:pPr>
              <w:pStyle w:val="Compact"/>
              <w:bidi/>
              <w:jc w:val="left"/>
            </w:pPr>
            <w:r>
              <w:rPr>
                <w:rtl/>
              </w:rPr>
              <w:t xml:space="preserve">البداية–النهاية (شهر)</w:t>
            </w:r>
          </w:p>
        </w:tc>
        <w:tc>
          <w:tcPr/>
          <w:p>
            <w:pPr>
              <w:pStyle w:val="Compact"/>
              <w:bidi/>
              <w:jc w:val="left"/>
            </w:pPr>
            <w:r>
              <w:rPr>
                <w:rtl/>
              </w:rPr>
              <w:t xml:space="preserve">المؤشر</w:t>
            </w:r>
          </w:p>
        </w:tc>
        <w:tc>
          <w:tcPr/>
          <w:p>
            <w:pPr>
              <w:pStyle w:val="Compact"/>
              <w:bidi/>
              <w:jc w:val="left"/>
            </w:pPr>
            <w:r>
              <w:rPr>
                <w:rtl/>
              </w:rPr>
              <w:t xml:space="preserve">الهدف</w:t>
            </w:r>
          </w:p>
        </w:tc>
        <w:tc>
          <w:tcPr/>
          <w:p>
            <w:pPr>
              <w:pStyle w:val="Compact"/>
              <w:bidi/>
              <w:jc w:val="left"/>
            </w:pPr>
            <w:r>
              <w:rPr>
                <w:rtl/>
              </w:rPr>
              <w:t xml:space="preserve">الكلفة التقديرية</w:t>
            </w:r>
          </w:p>
        </w:tc>
        <w:tc>
          <w:tcPr/>
          <w:p>
            <w:pPr>
              <w:pStyle w:val="Compact"/>
              <w:bidi/>
              <w:jc w:val="left"/>
            </w:pPr>
            <w:r>
              <w:rPr>
                <w:rtl/>
              </w:rPr>
              <w:t xml:space="preserve">التمويل</w:t>
            </w:r>
          </w:p>
        </w:tc>
      </w:tr>
      <w:tr>
        <w:tc>
          <w:tcPr/>
          <w:p>
            <w:pPr>
              <w:pStyle w:val="Compact"/>
              <w:bidi/>
              <w:jc w:val="left"/>
            </w:pPr>
            <w:r>
              <w:rPr>
                <w:rtl/>
              </w:rPr>
              <w:t xml:space="preserve">وقف شامل لإطلاق النار وآلية مراقبة</w:t>
            </w:r>
          </w:p>
        </w:tc>
        <w:tc>
          <w:tcPr/>
          <w:p>
            <w:pPr>
              <w:pStyle w:val="Compact"/>
              <w:bidi/>
              <w:jc w:val="left"/>
            </w:pPr>
            <w:r>
              <w:rPr>
                <w:rtl/>
              </w:rPr>
              <w:t xml:space="preserve">مجلس الأمن والدفاع</w:t>
            </w:r>
          </w:p>
        </w:tc>
        <w:tc>
          <w:tcPr/>
          <w:p>
            <w:pPr>
              <w:pStyle w:val="Compact"/>
              <w:bidi/>
              <w:jc w:val="left"/>
            </w:pPr>
            <w:r>
              <w:rPr>
                <w:rtl/>
              </w:rPr>
              <w:t xml:space="preserve">الاتحاد الأفريقي، الإيقاد، الأمم المتحدة</w:t>
            </w:r>
          </w:p>
        </w:tc>
        <w:tc>
          <w:tcPr/>
          <w:p>
            <w:pPr>
              <w:pStyle w:val="Compact"/>
              <w:bidi/>
              <w:jc w:val="left"/>
            </w:pPr>
            <w:r>
              <w:rPr>
                <w:rtl/>
              </w:rPr>
              <w:t xml:space="preserve">1–18</w:t>
            </w:r>
          </w:p>
        </w:tc>
        <w:tc>
          <w:tcPr/>
          <w:p>
            <w:pPr>
              <w:pStyle w:val="Compact"/>
              <w:bidi/>
              <w:jc w:val="left"/>
            </w:pPr>
            <w:r>
              <w:rPr>
                <w:rtl/>
              </w:rPr>
              <w:t xml:space="preserve">وقف نار ساري</w:t>
            </w:r>
          </w:p>
        </w:tc>
        <w:tc>
          <w:tcPr/>
          <w:p>
            <w:pPr>
              <w:pStyle w:val="Compact"/>
              <w:bidi/>
              <w:jc w:val="left"/>
            </w:pPr>
            <w:r>
              <w:rPr>
                <w:rtl/>
              </w:rPr>
              <w:t xml:space="preserve">الشهر 18</w:t>
            </w:r>
          </w:p>
        </w:tc>
        <w:tc>
          <w:tcPr/>
          <w:p>
            <w:pPr>
              <w:pStyle w:val="Compact"/>
              <w:bidi/>
              <w:jc w:val="left"/>
            </w:pPr>
            <w:r>
              <w:rPr>
                <w:rtl/>
              </w:rPr>
              <w:t xml:space="preserve">تُحدَّد</w:t>
            </w:r>
          </w:p>
        </w:tc>
        <w:tc>
          <w:tcPr/>
          <w:p>
            <w:pPr>
              <w:pStyle w:val="Compact"/>
              <w:bidi/>
              <w:jc w:val="left"/>
            </w:pPr>
            <w:r>
              <w:rPr>
                <w:rtl/>
              </w:rPr>
              <w:t xml:space="preserve">الشركاء</w:t>
            </w:r>
          </w:p>
        </w:tc>
      </w:tr>
      <w:tr>
        <w:tc>
          <w:tcPr/>
          <w:p>
            <w:pPr>
              <w:pStyle w:val="Compact"/>
              <w:bidi/>
              <w:jc w:val="left"/>
            </w:pPr>
            <w:r>
              <w:rPr>
                <w:rtl/>
              </w:rPr>
              <w:t xml:space="preserve">تسجيل المقاتلين ودمجهم أو تسريحهم (المرحلة الأولى)</w:t>
            </w:r>
          </w:p>
        </w:tc>
        <w:tc>
          <w:tcPr/>
          <w:p>
            <w:pPr>
              <w:pStyle w:val="Compact"/>
              <w:bidi/>
              <w:jc w:val="left"/>
            </w:pPr>
            <w:r>
              <w:rPr>
                <w:rtl/>
              </w:rPr>
              <w:t xml:space="preserve">الدفاع</w:t>
            </w:r>
          </w:p>
        </w:tc>
        <w:tc>
          <w:tcPr/>
          <w:p>
            <w:pPr>
              <w:pStyle w:val="Compact"/>
              <w:bidi/>
              <w:jc w:val="left"/>
            </w:pPr>
            <w:r>
              <w:rPr>
                <w:rtl/>
              </w:rPr>
              <w:t xml:space="preserve">الشركاء الدوليون</w:t>
            </w:r>
          </w:p>
        </w:tc>
        <w:tc>
          <w:tcPr/>
          <w:p>
            <w:pPr>
              <w:pStyle w:val="Compact"/>
              <w:bidi/>
              <w:jc w:val="left"/>
            </w:pPr>
            <w:r>
              <w:rPr>
                <w:rtl/>
              </w:rPr>
              <w:t xml:space="preserve">6–18</w:t>
            </w:r>
          </w:p>
        </w:tc>
        <w:tc>
          <w:tcPr/>
          <w:p>
            <w:pPr>
              <w:pStyle w:val="Compact"/>
              <w:bidi/>
              <w:jc w:val="left"/>
            </w:pPr>
            <w:r>
              <w:rPr>
                <w:rtl/>
              </w:rPr>
              <w:t xml:space="preserve">عدد المسرَّحين أو المدموجين</w:t>
            </w:r>
          </w:p>
        </w:tc>
        <w:tc>
          <w:tcPr/>
          <w:p>
            <w:pPr>
              <w:pStyle w:val="Compact"/>
              <w:bidi/>
              <w:jc w:val="left"/>
            </w:pPr>
            <w:r>
              <w:rPr>
                <w:rtl/>
              </w:rPr>
              <w:t xml:space="preserve">50 ألفاً</w:t>
            </w:r>
          </w:p>
        </w:tc>
        <w:tc>
          <w:tcPr/>
          <w:p>
            <w:pPr>
              <w:pStyle w:val="Compact"/>
              <w:bidi/>
              <w:jc w:val="left"/>
            </w:pPr>
            <w:r>
              <w:rPr>
                <w:rtl/>
              </w:rPr>
              <w:t xml:space="preserve">0.8–1.2 مليار $</w:t>
            </w:r>
          </w:p>
        </w:tc>
        <w:tc>
          <w:tcPr/>
          <w:p>
            <w:pPr>
              <w:pStyle w:val="Compact"/>
              <w:bidi/>
              <w:jc w:val="left"/>
            </w:pPr>
            <w:r>
              <w:rPr>
                <w:rtl/>
              </w:rPr>
              <w:t xml:space="preserve">نحو 90% من الشركاء</w:t>
            </w:r>
          </w:p>
        </w:tc>
      </w:tr>
      <w:tr>
        <w:tc>
          <w:tcPr/>
          <w:p>
            <w:pPr>
              <w:pStyle w:val="Compact"/>
              <w:bidi/>
              <w:jc w:val="left"/>
            </w:pPr>
            <w:r>
              <w:rPr>
                <w:rtl/>
              </w:rPr>
              <w:t xml:space="preserve">حل التشكيلات العقائدية والحزبية</w:t>
            </w:r>
          </w:p>
        </w:tc>
        <w:tc>
          <w:tcPr/>
          <w:p>
            <w:pPr>
              <w:pStyle w:val="Compact"/>
              <w:bidi/>
              <w:jc w:val="left"/>
            </w:pPr>
            <w:r>
              <w:rPr>
                <w:rtl/>
              </w:rPr>
              <w:t xml:space="preserve">مجلس الأمن والدفاع</w:t>
            </w:r>
          </w:p>
        </w:tc>
        <w:tc>
          <w:tcPr/>
          <w:p>
            <w:pPr>
              <w:pStyle w:val="Compact"/>
              <w:bidi/>
              <w:jc w:val="left"/>
            </w:pPr>
            <w:r>
              <w:rPr>
                <w:rtl/>
              </w:rPr>
              <w:t xml:space="preserve">الجمعية التأسيسية</w:t>
            </w:r>
          </w:p>
        </w:tc>
        <w:tc>
          <w:tcPr/>
          <w:p>
            <w:pPr>
              <w:pStyle w:val="Compact"/>
              <w:bidi/>
              <w:jc w:val="left"/>
            </w:pPr>
            <w:r>
              <w:rPr>
                <w:rtl/>
              </w:rPr>
              <w:t xml:space="preserve">1–12</w:t>
            </w:r>
          </w:p>
        </w:tc>
        <w:tc>
          <w:tcPr/>
          <w:p>
            <w:pPr>
              <w:pStyle w:val="Compact"/>
              <w:bidi/>
              <w:jc w:val="left"/>
            </w:pPr>
            <w:r>
              <w:rPr>
                <w:rtl/>
              </w:rPr>
              <w:t xml:space="preserve">عدد التشكيلات المحلولة</w:t>
            </w:r>
          </w:p>
        </w:tc>
        <w:tc>
          <w:tcPr/>
          <w:p>
            <w:pPr>
              <w:pStyle w:val="Compact"/>
              <w:bidi/>
              <w:jc w:val="left"/>
            </w:pPr>
            <w:r>
              <w:rPr>
                <w:rtl/>
              </w:rPr>
              <w:t xml:space="preserve">كلها</w:t>
            </w:r>
          </w:p>
        </w:tc>
        <w:tc>
          <w:tcPr/>
          <w:p>
            <w:pPr>
              <w:pStyle w:val="Compact"/>
              <w:bidi/>
              <w:jc w:val="left"/>
            </w:pPr>
            <w:r>
              <w:rPr>
                <w:rtl/>
              </w:rPr>
              <w:t xml:space="preserve">—</w:t>
            </w:r>
          </w:p>
        </w:tc>
        <w:tc>
          <w:tcPr/>
          <w:p>
            <w:pPr>
              <w:pStyle w:val="Compact"/>
              <w:bidi/>
              <w:jc w:val="left"/>
            </w:pPr>
            <w:r>
              <w:rPr>
                <w:rtl/>
              </w:rPr>
              <w:t xml:space="preserve">الموازنة</w:t>
            </w:r>
          </w:p>
        </w:tc>
      </w:tr>
      <w:tr>
        <w:tc>
          <w:tcPr/>
          <w:p>
            <w:pPr>
              <w:pStyle w:val="Compact"/>
              <w:bidi/>
              <w:jc w:val="left"/>
            </w:pPr>
            <w:r>
              <w:rPr>
                <w:rtl/>
              </w:rPr>
              <w:t xml:space="preserve">قانون جديد للقوات المسلحة</w:t>
            </w:r>
          </w:p>
        </w:tc>
        <w:tc>
          <w:tcPr/>
          <w:p>
            <w:pPr>
              <w:pStyle w:val="Compact"/>
              <w:bidi/>
              <w:jc w:val="left"/>
            </w:pPr>
            <w:r>
              <w:rPr>
                <w:rtl/>
              </w:rPr>
              <w:t xml:space="preserve">الدفاع، العدل والإصلاح القانوني</w:t>
            </w:r>
          </w:p>
        </w:tc>
        <w:tc>
          <w:tcPr/>
          <w:p>
            <w:pPr>
              <w:pStyle w:val="Compact"/>
              <w:bidi/>
              <w:jc w:val="left"/>
            </w:pPr>
            <w:r>
              <w:rPr>
                <w:rtl/>
              </w:rPr>
              <w:t xml:space="preserve">الجمعية</w:t>
            </w:r>
          </w:p>
        </w:tc>
        <w:tc>
          <w:tcPr/>
          <w:p>
            <w:pPr>
              <w:pStyle w:val="Compact"/>
              <w:bidi/>
              <w:jc w:val="left"/>
            </w:pPr>
            <w:r>
              <w:rPr>
                <w:rtl/>
              </w:rPr>
              <w:t xml:space="preserve">1–6</w:t>
            </w:r>
          </w:p>
        </w:tc>
        <w:tc>
          <w:tcPr/>
          <w:p>
            <w:pPr>
              <w:pStyle w:val="Compact"/>
              <w:bidi/>
              <w:jc w:val="left"/>
            </w:pPr>
            <w:r>
              <w:rPr>
                <w:rtl/>
              </w:rPr>
              <w:t xml:space="preserve">إجازة القانون</w:t>
            </w:r>
          </w:p>
        </w:tc>
        <w:tc>
          <w:tcPr/>
          <w:p>
            <w:pPr>
              <w:pStyle w:val="Compact"/>
              <w:bidi/>
              <w:jc w:val="left"/>
            </w:pPr>
            <w:r>
              <w:rPr>
                <w:rtl/>
              </w:rPr>
              <w:t xml:space="preserve">الشهر 6</w:t>
            </w:r>
          </w:p>
        </w:tc>
        <w:tc>
          <w:tcPr/>
          <w:p>
            <w:pPr>
              <w:pStyle w:val="Compact"/>
              <w:bidi/>
              <w:jc w:val="left"/>
            </w:pPr>
            <w:r>
              <w:rPr>
                <w:rtl/>
              </w:rPr>
              <w:t xml:space="preserve">—</w:t>
            </w:r>
          </w:p>
        </w:tc>
        <w:tc>
          <w:tcPr/>
          <w:p>
            <w:pPr>
              <w:pStyle w:val="Compact"/>
              <w:bidi/>
              <w:jc w:val="left"/>
            </w:pPr>
            <w:r>
              <w:rPr>
                <w:rtl/>
              </w:rPr>
              <w:t xml:space="preserve">—</w:t>
            </w:r>
          </w:p>
        </w:tc>
      </w:tr>
      <w:tr>
        <w:tc>
          <w:tcPr/>
          <w:p>
            <w:pPr>
              <w:pStyle w:val="Compact"/>
              <w:bidi/>
              <w:jc w:val="left"/>
            </w:pPr>
            <w:r>
              <w:rPr>
                <w:rtl/>
              </w:rPr>
              <w:t xml:space="preserve">حصر شركات الأجهزة النظامية ونقل غير الحربية منها</w:t>
            </w:r>
          </w:p>
        </w:tc>
        <w:tc>
          <w:tcPr/>
          <w:p>
            <w:pPr>
              <w:pStyle w:val="Compact"/>
              <w:bidi/>
              <w:jc w:val="left"/>
            </w:pPr>
            <w:r>
              <w:rPr>
                <w:rtl/>
              </w:rPr>
              <w:t xml:space="preserve">الاقتصاد وممتلكات الدولة</w:t>
            </w:r>
          </w:p>
        </w:tc>
        <w:tc>
          <w:tcPr/>
          <w:p>
            <w:pPr>
              <w:pStyle w:val="Compact"/>
              <w:bidi/>
              <w:jc w:val="left"/>
            </w:pPr>
            <w:r>
              <w:rPr>
                <w:rtl/>
              </w:rPr>
              <w:t xml:space="preserve">المراجع العام</w:t>
            </w:r>
          </w:p>
        </w:tc>
        <w:tc>
          <w:tcPr/>
          <w:p>
            <w:pPr>
              <w:pStyle w:val="Compact"/>
              <w:bidi/>
              <w:jc w:val="left"/>
            </w:pPr>
            <w:r>
              <w:rPr>
                <w:rtl/>
              </w:rPr>
              <w:t xml:space="preserve">2–30</w:t>
            </w:r>
          </w:p>
        </w:tc>
        <w:tc>
          <w:tcPr/>
          <w:p>
            <w:pPr>
              <w:pStyle w:val="Compact"/>
              <w:bidi/>
              <w:jc w:val="left"/>
            </w:pPr>
            <w:r>
              <w:rPr>
                <w:rtl/>
              </w:rPr>
              <w:t xml:space="preserve">نسبة الشركات المحصورة والمنقولة</w:t>
            </w:r>
          </w:p>
        </w:tc>
        <w:tc>
          <w:tcPr/>
          <w:p>
            <w:pPr>
              <w:pStyle w:val="Compact"/>
              <w:bidi/>
              <w:jc w:val="left"/>
            </w:pPr>
            <w:r>
              <w:rPr>
                <w:rtl/>
              </w:rPr>
              <w:t xml:space="preserve">100% محصورة؛ نقل غير الحربية</w:t>
            </w:r>
          </w:p>
        </w:tc>
        <w:tc>
          <w:tcPr/>
          <w:p>
            <w:pPr>
              <w:pStyle w:val="Compact"/>
              <w:bidi/>
              <w:jc w:val="left"/>
            </w:pPr>
            <w:r>
              <w:rPr>
                <w:rtl/>
              </w:rPr>
              <w:t xml:space="preserve">—</w:t>
            </w:r>
          </w:p>
        </w:tc>
        <w:tc>
          <w:tcPr/>
          <w:p>
            <w:pPr>
              <w:pStyle w:val="Compact"/>
              <w:bidi/>
              <w:jc w:val="left"/>
            </w:pPr>
            <w:r>
              <w:rPr>
                <w:rtl/>
              </w:rPr>
              <w:t xml:space="preserve">—</w:t>
            </w:r>
          </w:p>
        </w:tc>
      </w:tr>
      <w:tr>
        <w:tc>
          <w:tcPr/>
          <w:p>
            <w:pPr>
              <w:pStyle w:val="Compact"/>
              <w:bidi/>
              <w:jc w:val="left"/>
            </w:pPr>
            <w:r>
              <w:rPr>
                <w:rtl/>
              </w:rPr>
              <w:t xml:space="preserve">مراكز شراء الذهب بسعر عادل</w:t>
            </w:r>
          </w:p>
        </w:tc>
        <w:tc>
          <w:tcPr/>
          <w:p>
            <w:pPr>
              <w:pStyle w:val="Compact"/>
              <w:bidi/>
              <w:jc w:val="left"/>
            </w:pPr>
            <w:r>
              <w:rPr>
                <w:rtl/>
              </w:rPr>
              <w:t xml:space="preserve">الطاقة والصناعة والتعدين، البنك المركزي</w:t>
            </w:r>
          </w:p>
        </w:tc>
        <w:tc>
          <w:tcPr/>
          <w:p>
            <w:pPr>
              <w:pStyle w:val="Compact"/>
              <w:bidi/>
              <w:jc w:val="left"/>
            </w:pPr>
            <w:r>
              <w:rPr>
                <w:rtl/>
              </w:rPr>
              <w:t xml:space="preserve">القطاع الخاص</w:t>
            </w:r>
          </w:p>
        </w:tc>
        <w:tc>
          <w:tcPr/>
          <w:p>
            <w:pPr>
              <w:pStyle w:val="Compact"/>
              <w:bidi/>
              <w:jc w:val="left"/>
            </w:pPr>
            <w:r>
              <w:rPr>
                <w:rtl/>
              </w:rPr>
              <w:t xml:space="preserve">3–36</w:t>
            </w:r>
          </w:p>
        </w:tc>
        <w:tc>
          <w:tcPr/>
          <w:p>
            <w:pPr>
              <w:pStyle w:val="Compact"/>
              <w:bidi/>
              <w:jc w:val="left"/>
            </w:pPr>
            <w:r>
              <w:rPr>
                <w:rtl/>
              </w:rPr>
              <w:t xml:space="preserve">نسبة الذهب في القنوات الرسمية</w:t>
            </w:r>
          </w:p>
        </w:tc>
        <w:tc>
          <w:tcPr/>
          <w:p>
            <w:pPr>
              <w:pStyle w:val="Compact"/>
              <w:bidi/>
              <w:jc w:val="left"/>
            </w:pPr>
            <w:r>
              <w:rPr>
                <w:rtl/>
              </w:rPr>
              <w:t xml:space="preserve">75%</w:t>
            </w:r>
          </w:p>
        </w:tc>
        <w:tc>
          <w:tcPr/>
          <w:p>
            <w:pPr>
              <w:pStyle w:val="Compact"/>
              <w:bidi/>
              <w:jc w:val="left"/>
            </w:pPr>
            <w:r>
              <w:rPr>
                <w:rtl/>
              </w:rPr>
              <w:t xml:space="preserve">تُحدَّد</w:t>
            </w:r>
          </w:p>
        </w:tc>
        <w:tc>
          <w:tcPr/>
          <w:p>
            <w:pPr>
              <w:pStyle w:val="Compact"/>
              <w:bidi/>
              <w:jc w:val="left"/>
            </w:pPr>
            <w:r>
              <w:rPr>
                <w:rtl/>
              </w:rPr>
              <w:t xml:space="preserve">الموازنة، البنك المركزي</w:t>
            </w:r>
          </w:p>
        </w:tc>
      </w:tr>
      <w:tr>
        <w:tc>
          <w:tcPr/>
          <w:p>
            <w:pPr>
              <w:pStyle w:val="Compact"/>
              <w:bidi/>
              <w:jc w:val="left"/>
            </w:pPr>
            <w:r>
              <w:rPr>
                <w:rtl/>
              </w:rPr>
              <w:t xml:space="preserve">تمويل مدخلات المواسم الزراعية</w:t>
            </w:r>
          </w:p>
        </w:tc>
        <w:tc>
          <w:tcPr/>
          <w:p>
            <w:pPr>
              <w:pStyle w:val="Compact"/>
              <w:bidi/>
              <w:jc w:val="left"/>
            </w:pPr>
            <w:r>
              <w:rPr>
                <w:rtl/>
              </w:rPr>
              <w:t xml:space="preserve">الزراعة، المالية</w:t>
            </w:r>
          </w:p>
        </w:tc>
        <w:tc>
          <w:tcPr/>
          <w:p>
            <w:pPr>
              <w:pStyle w:val="Compact"/>
              <w:bidi/>
              <w:jc w:val="left"/>
            </w:pPr>
            <w:r>
              <w:rPr>
                <w:rtl/>
              </w:rPr>
              <w:t xml:space="preserve">الشركاء، البنوك</w:t>
            </w:r>
          </w:p>
        </w:tc>
        <w:tc>
          <w:tcPr/>
          <w:p>
            <w:pPr>
              <w:pStyle w:val="Compact"/>
              <w:bidi/>
              <w:jc w:val="left"/>
            </w:pPr>
            <w:r>
              <w:rPr>
                <w:rtl/>
              </w:rPr>
              <w:t xml:space="preserve">كل موسم</w:t>
            </w:r>
          </w:p>
        </w:tc>
        <w:tc>
          <w:tcPr/>
          <w:p>
            <w:pPr>
              <w:pStyle w:val="Compact"/>
              <w:bidi/>
              <w:jc w:val="left"/>
            </w:pPr>
            <w:r>
              <w:rPr>
                <w:rtl/>
              </w:rPr>
              <w:t xml:space="preserve">المساحة المزروعة</w:t>
            </w:r>
          </w:p>
        </w:tc>
        <w:tc>
          <w:tcPr/>
          <w:p>
            <w:pPr>
              <w:pStyle w:val="Compact"/>
              <w:bidi/>
              <w:jc w:val="left"/>
            </w:pPr>
            <w:r>
              <w:rPr>
                <w:rtl/>
              </w:rPr>
              <w:t xml:space="preserve">تُحدَّد بعد المسح</w:t>
            </w:r>
          </w:p>
        </w:tc>
        <w:tc>
          <w:tcPr/>
          <w:p>
            <w:pPr>
              <w:pStyle w:val="Compact"/>
              <w:bidi/>
              <w:jc w:val="left"/>
            </w:pPr>
            <w:r>
              <w:rPr>
                <w:rtl/>
              </w:rPr>
              <w:t xml:space="preserve">تُحدَّد</w:t>
            </w:r>
          </w:p>
        </w:tc>
        <w:tc>
          <w:tcPr/>
          <w:p>
            <w:pPr>
              <w:pStyle w:val="Compact"/>
              <w:bidi/>
              <w:jc w:val="left"/>
            </w:pPr>
            <w:r>
              <w:rPr>
                <w:rtl/>
              </w:rPr>
              <w:t xml:space="preserve">الموازنة، الشركاء</w:t>
            </w:r>
          </w:p>
        </w:tc>
      </w:tr>
      <w:tr>
        <w:tc>
          <w:tcPr/>
          <w:p>
            <w:pPr>
              <w:pStyle w:val="Compact"/>
              <w:bidi/>
              <w:jc w:val="left"/>
            </w:pPr>
            <w:r>
              <w:rPr>
                <w:rtl/>
              </w:rPr>
              <w:t xml:space="preserve">توحيد سعر الصرف</w:t>
            </w:r>
          </w:p>
        </w:tc>
        <w:tc>
          <w:tcPr/>
          <w:p>
            <w:pPr>
              <w:pStyle w:val="Compact"/>
              <w:bidi/>
              <w:jc w:val="left"/>
            </w:pPr>
            <w:r>
              <w:rPr>
                <w:rtl/>
              </w:rPr>
              <w:t xml:space="preserve">البنك المركزي، المالية</w:t>
            </w:r>
          </w:p>
        </w:tc>
        <w:tc>
          <w:tcPr/>
          <w:p>
            <w:pPr>
              <w:pStyle w:val="Compact"/>
              <w:bidi/>
              <w:jc w:val="left"/>
            </w:pPr>
            <w:r>
              <w:rPr>
                <w:rtl/>
              </w:rPr>
              <w:t xml:space="preserve">صندوق النقد الدولي</w:t>
            </w:r>
          </w:p>
        </w:tc>
        <w:tc>
          <w:tcPr/>
          <w:p>
            <w:pPr>
              <w:pStyle w:val="Compact"/>
              <w:bidi/>
              <w:jc w:val="left"/>
            </w:pPr>
            <w:r>
              <w:rPr>
                <w:rtl/>
              </w:rPr>
              <w:t xml:space="preserve">12–24</w:t>
            </w:r>
          </w:p>
        </w:tc>
        <w:tc>
          <w:tcPr/>
          <w:p>
            <w:pPr>
              <w:pStyle w:val="Compact"/>
              <w:bidi/>
              <w:jc w:val="left"/>
            </w:pPr>
            <w:r>
              <w:rPr>
                <w:rtl/>
              </w:rPr>
              <w:t xml:space="preserve">الفارق بين السعرين</w:t>
            </w:r>
          </w:p>
        </w:tc>
        <w:tc>
          <w:tcPr/>
          <w:p>
            <w:pPr>
              <w:pStyle w:val="Compact"/>
              <w:bidi/>
              <w:jc w:val="left"/>
            </w:pPr>
            <w:r>
              <w:rPr>
                <w:rtl/>
              </w:rPr>
              <w:t xml:space="preserve">أقل من 5%</w:t>
            </w:r>
          </w:p>
        </w:tc>
        <w:tc>
          <w:tcPr/>
          <w:p>
            <w:pPr>
              <w:pStyle w:val="Compact"/>
              <w:bidi/>
              <w:jc w:val="left"/>
            </w:pPr>
            <w:r>
              <w:rPr>
                <w:rtl/>
              </w:rPr>
              <w:t xml:space="preserve">—</w:t>
            </w:r>
          </w:p>
        </w:tc>
        <w:tc>
          <w:tcPr/>
          <w:p>
            <w:pPr>
              <w:pStyle w:val="Compact"/>
              <w:bidi/>
              <w:jc w:val="left"/>
            </w:pPr>
            <w:r>
              <w:rPr>
                <w:rtl/>
              </w:rPr>
              <w:t xml:space="preserve">—</w:t>
            </w:r>
          </w:p>
        </w:tc>
      </w:tr>
      <w:tr>
        <w:tc>
          <w:tcPr/>
          <w:p>
            <w:pPr>
              <w:pStyle w:val="Compact"/>
              <w:bidi/>
              <w:jc w:val="left"/>
            </w:pPr>
            <w:r>
              <w:rPr>
                <w:rtl/>
              </w:rPr>
              <w:t xml:space="preserve">البوابة الحكومية والهوية الرقمية</w:t>
            </w:r>
          </w:p>
        </w:tc>
        <w:tc>
          <w:tcPr/>
          <w:p>
            <w:pPr>
              <w:pStyle w:val="Compact"/>
              <w:bidi/>
              <w:jc w:val="left"/>
            </w:pPr>
            <w:r>
              <w:rPr>
                <w:rtl/>
              </w:rPr>
              <w:t xml:space="preserve">رئاسة الوزراء، الداخلية</w:t>
            </w:r>
          </w:p>
        </w:tc>
        <w:tc>
          <w:tcPr/>
          <w:p>
            <w:pPr>
              <w:pStyle w:val="Compact"/>
              <w:bidi/>
              <w:jc w:val="left"/>
            </w:pPr>
            <w:r>
              <w:rPr>
                <w:rtl/>
              </w:rPr>
              <w:t xml:space="preserve">الشركاء التقنيون</w:t>
            </w:r>
          </w:p>
        </w:tc>
        <w:tc>
          <w:tcPr/>
          <w:p>
            <w:pPr>
              <w:pStyle w:val="Compact"/>
              <w:bidi/>
              <w:jc w:val="left"/>
            </w:pPr>
            <w:r>
              <w:rPr>
                <w:rtl/>
              </w:rPr>
              <w:t xml:space="preserve">1–12</w:t>
            </w:r>
          </w:p>
        </w:tc>
        <w:tc>
          <w:tcPr/>
          <w:p>
            <w:pPr>
              <w:pStyle w:val="Compact"/>
              <w:bidi/>
              <w:jc w:val="left"/>
            </w:pPr>
            <w:r>
              <w:rPr>
                <w:rtl/>
              </w:rPr>
              <w:t xml:space="preserve">نسبة الخدمات الرقمية</w:t>
            </w:r>
          </w:p>
        </w:tc>
        <w:tc>
          <w:tcPr/>
          <w:p>
            <w:pPr>
              <w:pStyle w:val="Compact"/>
              <w:bidi/>
              <w:jc w:val="left"/>
            </w:pPr>
            <w:r>
              <w:rPr>
                <w:rtl/>
              </w:rPr>
              <w:t xml:space="preserve">40%</w:t>
            </w:r>
          </w:p>
        </w:tc>
        <w:tc>
          <w:tcPr/>
          <w:p>
            <w:pPr>
              <w:pStyle w:val="Compact"/>
              <w:bidi/>
              <w:jc w:val="left"/>
            </w:pPr>
            <w:r>
              <w:rPr>
                <w:rtl/>
              </w:rPr>
              <w:t xml:space="preserve">تُحدَّد</w:t>
            </w:r>
          </w:p>
        </w:tc>
        <w:tc>
          <w:tcPr/>
          <w:p>
            <w:pPr>
              <w:pStyle w:val="Compact"/>
              <w:bidi/>
              <w:jc w:val="left"/>
            </w:pPr>
            <w:r>
              <w:rPr>
                <w:rtl/>
              </w:rPr>
              <w:t xml:space="preserve">الموازنة، الشركاء</w:t>
            </w:r>
          </w:p>
        </w:tc>
      </w:tr>
      <w:tr>
        <w:tc>
          <w:tcPr/>
          <w:p>
            <w:pPr>
              <w:pStyle w:val="Compact"/>
              <w:bidi/>
              <w:jc w:val="left"/>
            </w:pPr>
            <w:r>
              <w:rPr>
                <w:rtl/>
              </w:rPr>
              <w:t xml:space="preserve">الانتقال إلى الأقاليم التسعة</w:t>
            </w:r>
          </w:p>
        </w:tc>
        <w:tc>
          <w:tcPr/>
          <w:p>
            <w:pPr>
              <w:pStyle w:val="Compact"/>
              <w:bidi/>
              <w:jc w:val="left"/>
            </w:pPr>
            <w:r>
              <w:rPr>
                <w:rtl/>
              </w:rPr>
              <w:t xml:space="preserve">الداخلية والحكم المحلي</w:t>
            </w:r>
          </w:p>
        </w:tc>
        <w:tc>
          <w:tcPr/>
          <w:p>
            <w:pPr>
              <w:pStyle w:val="Compact"/>
              <w:bidi/>
              <w:jc w:val="left"/>
            </w:pPr>
            <w:r>
              <w:rPr>
                <w:rtl/>
              </w:rPr>
              <w:t xml:space="preserve">مجلس الحكام</w:t>
            </w:r>
          </w:p>
        </w:tc>
        <w:tc>
          <w:tcPr/>
          <w:p>
            <w:pPr>
              <w:pStyle w:val="Compact"/>
              <w:bidi/>
              <w:jc w:val="left"/>
            </w:pPr>
            <w:r>
              <w:rPr>
                <w:rtl/>
              </w:rPr>
              <w:t xml:space="preserve">3–12</w:t>
            </w:r>
          </w:p>
        </w:tc>
        <w:tc>
          <w:tcPr/>
          <w:p>
            <w:pPr>
              <w:pStyle w:val="Compact"/>
              <w:bidi/>
              <w:jc w:val="left"/>
            </w:pPr>
            <w:r>
              <w:rPr>
                <w:rtl/>
              </w:rPr>
              <w:t xml:space="preserve">الأقاليم العاملة بحكوماتها</w:t>
            </w:r>
          </w:p>
        </w:tc>
        <w:tc>
          <w:tcPr/>
          <w:p>
            <w:pPr>
              <w:pStyle w:val="Compact"/>
              <w:bidi/>
              <w:jc w:val="left"/>
            </w:pPr>
            <w:r>
              <w:rPr>
                <w:rtl/>
              </w:rPr>
              <w:t xml:space="preserve">9</w:t>
            </w:r>
          </w:p>
        </w:tc>
        <w:tc>
          <w:tcPr/>
          <w:p>
            <w:pPr>
              <w:pStyle w:val="Compact"/>
              <w:bidi/>
              <w:jc w:val="left"/>
            </w:pPr>
            <w:r>
              <w:rPr>
                <w:rtl/>
              </w:rPr>
              <w:t xml:space="preserve">تُحدَّد</w:t>
            </w:r>
          </w:p>
        </w:tc>
        <w:tc>
          <w:tcPr/>
          <w:p>
            <w:pPr>
              <w:pStyle w:val="Compact"/>
              <w:bidi/>
              <w:jc w:val="left"/>
            </w:pPr>
            <w:r>
              <w:rPr>
                <w:rtl/>
              </w:rPr>
              <w:t xml:space="preserve">الموازنة</w:t>
            </w:r>
          </w:p>
        </w:tc>
      </w:tr>
      <w:tr>
        <w:tc>
          <w:tcPr/>
          <w:p>
            <w:pPr>
              <w:pStyle w:val="Compact"/>
              <w:bidi/>
              <w:jc w:val="left"/>
            </w:pPr>
            <w:r>
              <w:rPr>
                <w:rtl/>
              </w:rPr>
              <w:t xml:space="preserve">الهيئة المستقلة للحوار والحوار الوطني</w:t>
            </w:r>
          </w:p>
        </w:tc>
        <w:tc>
          <w:tcPr/>
          <w:p>
            <w:pPr>
              <w:pStyle w:val="Compact"/>
              <w:bidi/>
              <w:jc w:val="left"/>
            </w:pPr>
            <w:r>
              <w:rPr>
                <w:rtl/>
              </w:rPr>
              <w:t xml:space="preserve">الهيئة المستقلة</w:t>
            </w:r>
          </w:p>
        </w:tc>
        <w:tc>
          <w:tcPr/>
          <w:p>
            <w:pPr>
              <w:pStyle w:val="Compact"/>
              <w:bidi/>
              <w:jc w:val="left"/>
            </w:pPr>
            <w:r>
              <w:rPr>
                <w:rtl/>
              </w:rPr>
              <w:t xml:space="preserve">—</w:t>
            </w:r>
          </w:p>
        </w:tc>
        <w:tc>
          <w:tcPr/>
          <w:p>
            <w:pPr>
              <w:pStyle w:val="Compact"/>
              <w:bidi/>
              <w:jc w:val="left"/>
            </w:pPr>
            <w:r>
              <w:rPr>
                <w:rtl/>
              </w:rPr>
              <w:t xml:space="preserve">3–15</w:t>
            </w:r>
          </w:p>
        </w:tc>
        <w:tc>
          <w:tcPr/>
          <w:p>
            <w:pPr>
              <w:pStyle w:val="Compact"/>
              <w:bidi/>
              <w:jc w:val="left"/>
            </w:pPr>
            <w:r>
              <w:rPr>
                <w:rtl/>
              </w:rPr>
              <w:t xml:space="preserve">إقرار الميثاق</w:t>
            </w:r>
          </w:p>
        </w:tc>
        <w:tc>
          <w:tcPr/>
          <w:p>
            <w:pPr>
              <w:pStyle w:val="Compact"/>
              <w:bidi/>
              <w:jc w:val="left"/>
            </w:pPr>
            <w:r>
              <w:rPr>
                <w:rtl/>
              </w:rPr>
              <w:t xml:space="preserve">الشهر 15</w:t>
            </w:r>
          </w:p>
        </w:tc>
        <w:tc>
          <w:tcPr/>
          <w:p>
            <w:pPr>
              <w:pStyle w:val="Compact"/>
              <w:bidi/>
              <w:jc w:val="left"/>
            </w:pPr>
            <w:r>
              <w:rPr>
                <w:rtl/>
              </w:rPr>
              <w:t xml:space="preserve">تُحدَّد</w:t>
            </w:r>
          </w:p>
        </w:tc>
        <w:tc>
          <w:tcPr/>
          <w:p>
            <w:pPr>
              <w:pStyle w:val="Compact"/>
              <w:bidi/>
              <w:jc w:val="left"/>
            </w:pPr>
            <w:r>
              <w:rPr>
                <w:rtl/>
              </w:rPr>
              <w:t xml:space="preserve">الموازنة، الشركاء</w:t>
            </w:r>
          </w:p>
        </w:tc>
      </w:tr>
      <w:tr>
        <w:tc>
          <w:tcPr/>
          <w:p>
            <w:pPr>
              <w:pStyle w:val="Compact"/>
              <w:bidi/>
              <w:jc w:val="left"/>
            </w:pPr>
            <w:r>
              <w:rPr>
                <w:rtl/>
              </w:rPr>
              <w:t xml:space="preserve">مفوضية العدالة الانتقالية والنيابة المتخصصة</w:t>
            </w:r>
          </w:p>
        </w:tc>
        <w:tc>
          <w:tcPr/>
          <w:p>
            <w:pPr>
              <w:pStyle w:val="Compact"/>
              <w:bidi/>
              <w:jc w:val="left"/>
            </w:pPr>
            <w:r>
              <w:rPr>
                <w:rtl/>
              </w:rPr>
              <w:t xml:space="preserve">العدل والإصلاح القانوني</w:t>
            </w:r>
          </w:p>
        </w:tc>
        <w:tc>
          <w:tcPr/>
          <w:p>
            <w:pPr>
              <w:pStyle w:val="Compact"/>
              <w:bidi/>
              <w:jc w:val="left"/>
            </w:pPr>
            <w:r>
              <w:rPr>
                <w:rtl/>
              </w:rPr>
              <w:t xml:space="preserve">الشركاء الدوليون</w:t>
            </w:r>
          </w:p>
        </w:tc>
        <w:tc>
          <w:tcPr/>
          <w:p>
            <w:pPr>
              <w:pStyle w:val="Compact"/>
              <w:bidi/>
              <w:jc w:val="left"/>
            </w:pPr>
            <w:r>
              <w:rPr>
                <w:rtl/>
              </w:rPr>
              <w:t xml:space="preserve">3–36</w:t>
            </w:r>
          </w:p>
        </w:tc>
        <w:tc>
          <w:tcPr/>
          <w:p>
            <w:pPr>
              <w:pStyle w:val="Compact"/>
              <w:bidi/>
              <w:jc w:val="left"/>
            </w:pPr>
            <w:r>
              <w:rPr>
                <w:rtl/>
              </w:rPr>
              <w:t xml:space="preserve">بدء المحاكمات</w:t>
            </w:r>
          </w:p>
        </w:tc>
        <w:tc>
          <w:tcPr/>
          <w:p>
            <w:pPr>
              <w:pStyle w:val="Compact"/>
              <w:bidi/>
              <w:jc w:val="left"/>
            </w:pPr>
            <w:r>
              <w:rPr>
                <w:rtl/>
              </w:rPr>
              <w:t xml:space="preserve">قبل الشهر 36</w:t>
            </w:r>
          </w:p>
        </w:tc>
        <w:tc>
          <w:tcPr/>
          <w:p>
            <w:pPr>
              <w:pStyle w:val="Compact"/>
              <w:bidi/>
              <w:jc w:val="left"/>
            </w:pPr>
            <w:r>
              <w:rPr>
                <w:rtl/>
              </w:rPr>
              <w:t xml:space="preserve">تُحدَّد</w:t>
            </w:r>
          </w:p>
        </w:tc>
        <w:tc>
          <w:tcPr/>
          <w:p>
            <w:pPr>
              <w:pStyle w:val="Compact"/>
              <w:bidi/>
              <w:jc w:val="left"/>
            </w:pPr>
            <w:r>
              <w:rPr>
                <w:rtl/>
              </w:rPr>
              <w:t xml:space="preserve">الموازنة، الشركاء</w:t>
            </w:r>
          </w:p>
        </w:tc>
      </w:tr>
      <w:tr>
        <w:tc>
          <w:tcPr/>
          <w:p>
            <w:pPr>
              <w:pStyle w:val="Compact"/>
              <w:bidi/>
              <w:jc w:val="left"/>
            </w:pPr>
            <w:r>
              <w:rPr>
                <w:rtl/>
              </w:rPr>
              <w:t xml:space="preserve">إعادة فتح المدارس ورواتب المعلمين</w:t>
            </w:r>
          </w:p>
        </w:tc>
        <w:tc>
          <w:tcPr/>
          <w:p>
            <w:pPr>
              <w:pStyle w:val="Compact"/>
              <w:bidi/>
              <w:jc w:val="left"/>
            </w:pPr>
            <w:r>
              <w:rPr>
                <w:rtl/>
              </w:rPr>
              <w:t xml:space="preserve">التعليم</w:t>
            </w:r>
          </w:p>
        </w:tc>
        <w:tc>
          <w:tcPr/>
          <w:p>
            <w:pPr>
              <w:pStyle w:val="Compact"/>
              <w:bidi/>
              <w:jc w:val="left"/>
            </w:pPr>
            <w:r>
              <w:rPr>
                <w:rtl/>
              </w:rPr>
              <w:t xml:space="preserve">اليونيسف، الشركاء</w:t>
            </w:r>
          </w:p>
        </w:tc>
        <w:tc>
          <w:tcPr/>
          <w:p>
            <w:pPr>
              <w:pStyle w:val="Compact"/>
              <w:bidi/>
              <w:jc w:val="left"/>
            </w:pPr>
            <w:r>
              <w:rPr>
                <w:rtl/>
              </w:rPr>
              <w:t xml:space="preserve">1–36</w:t>
            </w:r>
          </w:p>
        </w:tc>
        <w:tc>
          <w:tcPr/>
          <w:p>
            <w:pPr>
              <w:pStyle w:val="Compact"/>
              <w:bidi/>
              <w:jc w:val="left"/>
            </w:pPr>
            <w:r>
              <w:rPr>
                <w:rtl/>
              </w:rPr>
              <w:t xml:space="preserve">الأطفال خارج المدرسة</w:t>
            </w:r>
          </w:p>
        </w:tc>
        <w:tc>
          <w:tcPr/>
          <w:p>
            <w:pPr>
              <w:pStyle w:val="Compact"/>
              <w:bidi/>
              <w:jc w:val="left"/>
            </w:pPr>
            <w:r>
              <w:rPr>
                <w:rtl/>
              </w:rPr>
              <w:t xml:space="preserve">خفض 70%</w:t>
            </w:r>
          </w:p>
        </w:tc>
        <w:tc>
          <w:tcPr/>
          <w:p>
            <w:pPr>
              <w:pStyle w:val="Compact"/>
              <w:bidi/>
              <w:jc w:val="left"/>
            </w:pPr>
            <w:r>
              <w:rPr>
                <w:rtl/>
              </w:rPr>
              <w:t xml:space="preserve">تُحدَّد بعد المسح</w:t>
            </w:r>
          </w:p>
        </w:tc>
        <w:tc>
          <w:tcPr/>
          <w:p>
            <w:pPr>
              <w:pStyle w:val="Compact"/>
              <w:bidi/>
              <w:jc w:val="left"/>
            </w:pPr>
            <w:r>
              <w:rPr>
                <w:rtl/>
              </w:rPr>
              <w:t xml:space="preserve">الموازنة، الشركاء</w:t>
            </w:r>
          </w:p>
        </w:tc>
      </w:tr>
      <w:tr>
        <w:tc>
          <w:tcPr/>
          <w:p>
            <w:pPr>
              <w:pStyle w:val="Compact"/>
              <w:bidi/>
              <w:jc w:val="left"/>
            </w:pPr>
            <w:r>
              <w:rPr>
                <w:rtl/>
              </w:rPr>
              <w:t xml:space="preserve">البرنامج الصحي العاجل وإعادة تشغيل المستشفيات</w:t>
            </w:r>
          </w:p>
        </w:tc>
        <w:tc>
          <w:tcPr/>
          <w:p>
            <w:pPr>
              <w:pStyle w:val="Compact"/>
              <w:bidi/>
              <w:jc w:val="left"/>
            </w:pPr>
            <w:r>
              <w:rPr>
                <w:rtl/>
              </w:rPr>
              <w:t xml:space="preserve">الصحة</w:t>
            </w:r>
          </w:p>
        </w:tc>
        <w:tc>
          <w:tcPr/>
          <w:p>
            <w:pPr>
              <w:pStyle w:val="Compact"/>
              <w:bidi/>
              <w:jc w:val="left"/>
            </w:pPr>
            <w:r>
              <w:rPr>
                <w:rtl/>
              </w:rPr>
              <w:t xml:space="preserve">منظمة الصحة العالمية، الشركاء</w:t>
            </w:r>
          </w:p>
        </w:tc>
        <w:tc>
          <w:tcPr/>
          <w:p>
            <w:pPr>
              <w:pStyle w:val="Compact"/>
              <w:bidi/>
              <w:jc w:val="left"/>
            </w:pPr>
            <w:r>
              <w:rPr>
                <w:rtl/>
              </w:rPr>
              <w:t xml:space="preserve">1–36</w:t>
            </w:r>
          </w:p>
        </w:tc>
        <w:tc>
          <w:tcPr/>
          <w:p>
            <w:pPr>
              <w:pStyle w:val="Compact"/>
              <w:bidi/>
              <w:jc w:val="left"/>
            </w:pPr>
            <w:r>
              <w:rPr>
                <w:rtl/>
              </w:rPr>
              <w:t xml:space="preserve">السكان على بعد 20 كم من مرفق</w:t>
            </w:r>
          </w:p>
        </w:tc>
        <w:tc>
          <w:tcPr/>
          <w:p>
            <w:pPr>
              <w:pStyle w:val="Compact"/>
              <w:bidi/>
              <w:jc w:val="left"/>
            </w:pPr>
            <w:r>
              <w:rPr>
                <w:rtl/>
              </w:rPr>
              <w:t xml:space="preserve">70%</w:t>
            </w:r>
          </w:p>
        </w:tc>
        <w:tc>
          <w:tcPr/>
          <w:p>
            <w:pPr>
              <w:pStyle w:val="Compact"/>
              <w:bidi/>
              <w:jc w:val="left"/>
            </w:pPr>
            <w:r>
              <w:rPr>
                <w:rtl/>
              </w:rPr>
              <w:t xml:space="preserve">تُحدَّد بعد المسح</w:t>
            </w:r>
          </w:p>
        </w:tc>
        <w:tc>
          <w:tcPr/>
          <w:p>
            <w:pPr>
              <w:pStyle w:val="Compact"/>
              <w:bidi/>
              <w:jc w:val="left"/>
            </w:pPr>
            <w:r>
              <w:rPr>
                <w:rtl/>
              </w:rPr>
              <w:t xml:space="preserve">الموازنة، الشركاء</w:t>
            </w:r>
          </w:p>
        </w:tc>
      </w:tr>
      <w:tr>
        <w:tc>
          <w:tcPr/>
          <w:p>
            <w:pPr>
              <w:pStyle w:val="Compact"/>
              <w:bidi/>
              <w:jc w:val="left"/>
            </w:pPr>
            <w:r>
              <w:rPr>
                <w:rtl/>
              </w:rPr>
              <w:t xml:space="preserve">مياه الشرب الآمنة</w:t>
            </w:r>
          </w:p>
        </w:tc>
        <w:tc>
          <w:tcPr/>
          <w:p>
            <w:pPr>
              <w:pStyle w:val="Compact"/>
              <w:bidi/>
              <w:jc w:val="left"/>
            </w:pPr>
            <w:r>
              <w:rPr>
                <w:rtl/>
              </w:rPr>
              <w:t xml:space="preserve">الزراعة والمياه</w:t>
            </w:r>
          </w:p>
        </w:tc>
        <w:tc>
          <w:tcPr/>
          <w:p>
            <w:pPr>
              <w:pStyle w:val="Compact"/>
              <w:bidi/>
              <w:jc w:val="left"/>
            </w:pPr>
            <w:r>
              <w:rPr>
                <w:rtl/>
              </w:rPr>
              <w:t xml:space="preserve">اليونيسف، المجتمع المدني</w:t>
            </w:r>
          </w:p>
        </w:tc>
        <w:tc>
          <w:tcPr/>
          <w:p>
            <w:pPr>
              <w:pStyle w:val="Compact"/>
              <w:bidi/>
              <w:jc w:val="left"/>
            </w:pPr>
            <w:r>
              <w:rPr>
                <w:rtl/>
              </w:rPr>
              <w:t xml:space="preserve">1–36</w:t>
            </w:r>
          </w:p>
        </w:tc>
        <w:tc>
          <w:tcPr/>
          <w:p>
            <w:pPr>
              <w:pStyle w:val="Compact"/>
              <w:bidi/>
              <w:jc w:val="left"/>
            </w:pPr>
            <w:r>
              <w:rPr>
                <w:rtl/>
              </w:rPr>
              <w:t xml:space="preserve">نسبة الوصول</w:t>
            </w:r>
          </w:p>
        </w:tc>
        <w:tc>
          <w:tcPr/>
          <w:p>
            <w:pPr>
              <w:pStyle w:val="Compact"/>
              <w:bidi/>
              <w:jc w:val="left"/>
            </w:pPr>
            <w:r>
              <w:rPr>
                <w:rtl/>
              </w:rPr>
              <w:t xml:space="preserve">70%</w:t>
            </w:r>
          </w:p>
        </w:tc>
        <w:tc>
          <w:tcPr/>
          <w:p>
            <w:pPr>
              <w:pStyle w:val="Compact"/>
              <w:bidi/>
              <w:jc w:val="left"/>
            </w:pPr>
            <w:r>
              <w:rPr>
                <w:rtl/>
              </w:rPr>
              <w:t xml:space="preserve">تُحدَّد بعد المسح</w:t>
            </w:r>
          </w:p>
        </w:tc>
        <w:tc>
          <w:tcPr/>
          <w:p>
            <w:pPr>
              <w:pStyle w:val="Compact"/>
              <w:bidi/>
              <w:jc w:val="left"/>
            </w:pPr>
            <w:r>
              <w:rPr>
                <w:rtl/>
              </w:rPr>
              <w:t xml:space="preserve">الشركاء</w:t>
            </w:r>
          </w:p>
        </w:tc>
      </w:tr>
      <w:tr>
        <w:tc>
          <w:tcPr/>
          <w:p>
            <w:pPr>
              <w:pStyle w:val="Compact"/>
              <w:bidi/>
              <w:jc w:val="left"/>
            </w:pPr>
            <w:r>
              <w:rPr>
                <w:rtl/>
              </w:rPr>
              <w:t xml:space="preserve">التحويلات النقدية المستهدفة</w:t>
            </w:r>
          </w:p>
        </w:tc>
        <w:tc>
          <w:tcPr/>
          <w:p>
            <w:pPr>
              <w:pStyle w:val="Compact"/>
              <w:bidi/>
              <w:jc w:val="left"/>
            </w:pPr>
            <w:r>
              <w:rPr>
                <w:rtl/>
              </w:rPr>
              <w:t xml:space="preserve">الصحة والتنمية الاجتماعية، المالية</w:t>
            </w:r>
          </w:p>
        </w:tc>
        <w:tc>
          <w:tcPr/>
          <w:p>
            <w:pPr>
              <w:pStyle w:val="Compact"/>
              <w:bidi/>
              <w:jc w:val="left"/>
            </w:pPr>
            <w:r>
              <w:rPr>
                <w:rtl/>
              </w:rPr>
              <w:t xml:space="preserve">البنك الدولي، الشركاء</w:t>
            </w:r>
          </w:p>
        </w:tc>
        <w:tc>
          <w:tcPr/>
          <w:p>
            <w:pPr>
              <w:pStyle w:val="Compact"/>
              <w:bidi/>
              <w:jc w:val="left"/>
            </w:pPr>
            <w:r>
              <w:rPr>
                <w:rtl/>
              </w:rPr>
              <w:t xml:space="preserve">6–36</w:t>
            </w:r>
          </w:p>
        </w:tc>
        <w:tc>
          <w:tcPr/>
          <w:p>
            <w:pPr>
              <w:pStyle w:val="Compact"/>
              <w:bidi/>
              <w:jc w:val="left"/>
            </w:pPr>
            <w:r>
              <w:rPr>
                <w:rtl/>
              </w:rPr>
              <w:t xml:space="preserve">الأسر المشمولة</w:t>
            </w:r>
          </w:p>
        </w:tc>
        <w:tc>
          <w:tcPr/>
          <w:p>
            <w:pPr>
              <w:pStyle w:val="Compact"/>
              <w:bidi/>
              <w:jc w:val="left"/>
            </w:pPr>
            <w:r>
              <w:rPr>
                <w:rtl/>
              </w:rPr>
              <w:t xml:space="preserve">40% من المستحقين</w:t>
            </w:r>
          </w:p>
        </w:tc>
        <w:tc>
          <w:tcPr/>
          <w:p>
            <w:pPr>
              <w:pStyle w:val="Compact"/>
              <w:bidi/>
              <w:jc w:val="left"/>
            </w:pPr>
            <w:r>
              <w:rPr>
                <w:rtl/>
              </w:rPr>
              <w:t xml:space="preserve">نحو 2.2 مليار $ سنوياً عند اكتمالها</w:t>
            </w:r>
          </w:p>
        </w:tc>
        <w:tc>
          <w:tcPr/>
          <w:p>
            <w:pPr>
              <w:pStyle w:val="Compact"/>
              <w:bidi/>
              <w:jc w:val="left"/>
            </w:pPr>
            <w:r>
              <w:rPr>
                <w:rtl/>
              </w:rPr>
              <w:t xml:space="preserve">الشركاء ثم الموازنة</w:t>
            </w:r>
          </w:p>
        </w:tc>
      </w:tr>
      <w:tr>
        <w:tc>
          <w:tcPr/>
          <w:p>
            <w:pPr>
              <w:pStyle w:val="Compact"/>
              <w:bidi/>
              <w:jc w:val="left"/>
            </w:pPr>
            <w:r>
              <w:rPr>
                <w:rtl/>
              </w:rPr>
              <w:t xml:space="preserve">التجربة الرائدة للدخل الأساسي</w:t>
            </w:r>
          </w:p>
        </w:tc>
        <w:tc>
          <w:tcPr/>
          <w:p>
            <w:pPr>
              <w:pStyle w:val="Compact"/>
              <w:bidi/>
              <w:jc w:val="left"/>
            </w:pPr>
            <w:r>
              <w:rPr>
                <w:rtl/>
              </w:rPr>
              <w:t xml:space="preserve">الصحة والتنمية الاجتماعية</w:t>
            </w:r>
          </w:p>
        </w:tc>
        <w:tc>
          <w:tcPr/>
          <w:p>
            <w:pPr>
              <w:pStyle w:val="Compact"/>
              <w:bidi/>
              <w:jc w:val="left"/>
            </w:pPr>
            <w:r>
              <w:rPr>
                <w:rtl/>
              </w:rPr>
              <w:t xml:space="preserve">جهة بحثية مستقلة</w:t>
            </w:r>
          </w:p>
        </w:tc>
        <w:tc>
          <w:tcPr/>
          <w:p>
            <w:pPr>
              <w:pStyle w:val="Compact"/>
              <w:bidi/>
              <w:jc w:val="left"/>
            </w:pPr>
            <w:r>
              <w:rPr>
                <w:rtl/>
              </w:rPr>
              <w:t xml:space="preserve">18–42</w:t>
            </w:r>
          </w:p>
        </w:tc>
        <w:tc>
          <w:tcPr/>
          <w:p>
            <w:pPr>
              <w:pStyle w:val="Compact"/>
              <w:bidi/>
              <w:jc w:val="left"/>
            </w:pPr>
            <w:r>
              <w:rPr>
                <w:rtl/>
              </w:rPr>
              <w:t xml:space="preserve">نشر التقييم</w:t>
            </w:r>
          </w:p>
        </w:tc>
        <w:tc>
          <w:tcPr/>
          <w:p>
            <w:pPr>
              <w:pStyle w:val="Compact"/>
              <w:bidi/>
              <w:jc w:val="left"/>
            </w:pPr>
            <w:r>
              <w:rPr>
                <w:rtl/>
              </w:rPr>
              <w:t xml:space="preserve">بعد الشهر 42</w:t>
            </w:r>
          </w:p>
        </w:tc>
        <w:tc>
          <w:tcPr/>
          <w:p>
            <w:pPr>
              <w:pStyle w:val="Compact"/>
              <w:bidi/>
              <w:jc w:val="left"/>
            </w:pPr>
            <w:r>
              <w:rPr>
                <w:rtl/>
              </w:rPr>
              <w:t xml:space="preserve">نحو 36 مليون $</w:t>
            </w:r>
          </w:p>
        </w:tc>
        <w:tc>
          <w:tcPr/>
          <w:p>
            <w:pPr>
              <w:pStyle w:val="Compact"/>
              <w:bidi/>
              <w:jc w:val="left"/>
            </w:pPr>
            <w:r>
              <w:rPr>
                <w:rtl/>
              </w:rPr>
              <w:t xml:space="preserve">الشركاء</w:t>
            </w:r>
          </w:p>
        </w:tc>
      </w:tr>
      <w:tr>
        <w:tc>
          <w:tcPr/>
          <w:p>
            <w:pPr>
              <w:pStyle w:val="Compact"/>
              <w:bidi/>
              <w:jc w:val="left"/>
            </w:pPr>
            <w:r>
              <w:rPr>
                <w:rtl/>
              </w:rPr>
              <w:t xml:space="preserve">صندوق إعادة الإعمار</w:t>
            </w:r>
          </w:p>
        </w:tc>
        <w:tc>
          <w:tcPr/>
          <w:p>
            <w:pPr>
              <w:pStyle w:val="Compact"/>
              <w:bidi/>
              <w:jc w:val="left"/>
            </w:pPr>
            <w:r>
              <w:rPr>
                <w:rtl/>
              </w:rPr>
              <w:t xml:space="preserve">مفوضية إعادة الإعمار، المالية</w:t>
            </w:r>
          </w:p>
        </w:tc>
        <w:tc>
          <w:tcPr/>
          <w:p>
            <w:pPr>
              <w:pStyle w:val="Compact"/>
              <w:bidi/>
              <w:jc w:val="left"/>
            </w:pPr>
            <w:r>
              <w:rPr>
                <w:rtl/>
              </w:rPr>
              <w:t xml:space="preserve">الشركاء</w:t>
            </w:r>
          </w:p>
        </w:tc>
        <w:tc>
          <w:tcPr/>
          <w:p>
            <w:pPr>
              <w:pStyle w:val="Compact"/>
              <w:bidi/>
              <w:jc w:val="left"/>
            </w:pPr>
            <w:r>
              <w:rPr>
                <w:rtl/>
              </w:rPr>
              <w:t xml:space="preserve">3–36</w:t>
            </w:r>
          </w:p>
        </w:tc>
        <w:tc>
          <w:tcPr/>
          <w:p>
            <w:pPr>
              <w:pStyle w:val="Compact"/>
              <w:bidi/>
              <w:jc w:val="left"/>
            </w:pPr>
            <w:r>
              <w:rPr>
                <w:rtl/>
              </w:rPr>
              <w:t xml:space="preserve">الأموال المحشودة</w:t>
            </w:r>
          </w:p>
        </w:tc>
        <w:tc>
          <w:tcPr/>
          <w:p>
            <w:pPr>
              <w:pStyle w:val="Compact"/>
              <w:bidi/>
              <w:jc w:val="left"/>
            </w:pPr>
            <w:r>
              <w:rPr>
                <w:rtl/>
              </w:rPr>
              <w:t xml:space="preserve">10 مليارات $ في 5 سنوات</w:t>
            </w:r>
          </w:p>
        </w:tc>
        <w:tc>
          <w:tcPr/>
          <w:p>
            <w:pPr>
              <w:pStyle w:val="Compact"/>
              <w:bidi/>
              <w:jc w:val="left"/>
            </w:pPr>
            <w:r>
              <w:rPr>
                <w:rtl/>
              </w:rPr>
              <w:t xml:space="preserve">—</w:t>
            </w:r>
          </w:p>
        </w:tc>
        <w:tc>
          <w:tcPr/>
          <w:p>
            <w:pPr>
              <w:pStyle w:val="Compact"/>
              <w:bidi/>
              <w:jc w:val="left"/>
            </w:pPr>
            <w:r>
              <w:rPr>
                <w:rtl/>
              </w:rPr>
              <w:t xml:space="preserve">الشركاء، المستثمرون</w:t>
            </w:r>
          </w:p>
        </w:tc>
      </w:tr>
      <w:tr>
        <w:tc>
          <w:tcPr/>
          <w:p>
            <w:pPr>
              <w:pStyle w:val="Compact"/>
              <w:bidi/>
              <w:jc w:val="left"/>
            </w:pPr>
            <w:r>
              <w:rPr>
                <w:rtl/>
              </w:rPr>
              <w:t xml:space="preserve">التعداد أو بديله</w:t>
            </w:r>
          </w:p>
        </w:tc>
        <w:tc>
          <w:tcPr/>
          <w:p>
            <w:pPr>
              <w:pStyle w:val="Compact"/>
              <w:bidi/>
              <w:jc w:val="left"/>
            </w:pPr>
            <w:r>
              <w:rPr>
                <w:rtl/>
              </w:rPr>
              <w:t xml:space="preserve">مفوضية التعداد والانتخابات</w:t>
            </w:r>
          </w:p>
        </w:tc>
        <w:tc>
          <w:tcPr/>
          <w:p>
            <w:pPr>
              <w:pStyle w:val="Compact"/>
              <w:bidi/>
              <w:jc w:val="left"/>
            </w:pPr>
            <w:r>
              <w:rPr>
                <w:rtl/>
              </w:rPr>
              <w:t xml:space="preserve">صندوق الأمم المتحدة للسكان</w:t>
            </w:r>
          </w:p>
        </w:tc>
        <w:tc>
          <w:tcPr/>
          <w:p>
            <w:pPr>
              <w:pStyle w:val="Compact"/>
              <w:bidi/>
              <w:jc w:val="left"/>
            </w:pPr>
            <w:r>
              <w:rPr>
                <w:rtl/>
              </w:rPr>
              <w:t xml:space="preserve">9–24</w:t>
            </w:r>
          </w:p>
        </w:tc>
        <w:tc>
          <w:tcPr/>
          <w:p>
            <w:pPr>
              <w:pStyle w:val="Compact"/>
              <w:bidi/>
              <w:jc w:val="left"/>
            </w:pPr>
            <w:r>
              <w:rPr>
                <w:rtl/>
              </w:rPr>
              <w:t xml:space="preserve">اكتمال التعداد</w:t>
            </w:r>
          </w:p>
        </w:tc>
        <w:tc>
          <w:tcPr/>
          <w:p>
            <w:pPr>
              <w:pStyle w:val="Compact"/>
              <w:bidi/>
              <w:jc w:val="left"/>
            </w:pPr>
            <w:r>
              <w:rPr>
                <w:rtl/>
              </w:rPr>
              <w:t xml:space="preserve">الشهر 24</w:t>
            </w:r>
          </w:p>
        </w:tc>
        <w:tc>
          <w:tcPr/>
          <w:p>
            <w:pPr>
              <w:pStyle w:val="Compact"/>
              <w:bidi/>
              <w:jc w:val="left"/>
            </w:pPr>
            <w:r>
              <w:rPr>
                <w:rtl/>
              </w:rPr>
              <w:t xml:space="preserve">تُحدَّد</w:t>
            </w:r>
          </w:p>
        </w:tc>
        <w:tc>
          <w:tcPr/>
          <w:p>
            <w:pPr>
              <w:pStyle w:val="Compact"/>
              <w:bidi/>
              <w:jc w:val="left"/>
            </w:pPr>
            <w:r>
              <w:rPr>
                <w:rtl/>
              </w:rPr>
              <w:t xml:space="preserve">الموازنة، الشركاء</w:t>
            </w:r>
          </w:p>
        </w:tc>
      </w:tr>
      <w:tr>
        <w:tc>
          <w:tcPr/>
          <w:p>
            <w:pPr>
              <w:pStyle w:val="Compact"/>
              <w:bidi/>
              <w:jc w:val="left"/>
            </w:pPr>
            <w:r>
              <w:rPr>
                <w:rtl/>
              </w:rPr>
              <w:t xml:space="preserve">الاستفتاء الدستوري</w:t>
            </w:r>
          </w:p>
        </w:tc>
        <w:tc>
          <w:tcPr/>
          <w:p>
            <w:pPr>
              <w:pStyle w:val="Compact"/>
              <w:bidi/>
              <w:jc w:val="left"/>
            </w:pPr>
            <w:r>
              <w:rPr>
                <w:rtl/>
              </w:rPr>
              <w:t xml:space="preserve">مفوضية التعداد والانتخابات</w:t>
            </w:r>
          </w:p>
        </w:tc>
        <w:tc>
          <w:tcPr/>
          <w:p>
            <w:pPr>
              <w:pStyle w:val="Compact"/>
              <w:bidi/>
              <w:jc w:val="left"/>
            </w:pPr>
            <w:r>
              <w:rPr>
                <w:rtl/>
              </w:rPr>
              <w:t xml:space="preserve">—</w:t>
            </w:r>
          </w:p>
        </w:tc>
        <w:tc>
          <w:tcPr/>
          <w:p>
            <w:pPr>
              <w:pStyle w:val="Compact"/>
              <w:bidi/>
              <w:jc w:val="left"/>
            </w:pPr>
            <w:r>
              <w:rPr>
                <w:rtl/>
              </w:rPr>
              <w:t xml:space="preserve">26–28</w:t>
            </w:r>
          </w:p>
        </w:tc>
        <w:tc>
          <w:tcPr/>
          <w:p>
            <w:pPr>
              <w:pStyle w:val="Compact"/>
              <w:bidi/>
              <w:jc w:val="left"/>
            </w:pPr>
            <w:r>
              <w:rPr>
                <w:rtl/>
              </w:rPr>
              <w:t xml:space="preserve">إجراء الاستفتاء</w:t>
            </w:r>
          </w:p>
        </w:tc>
        <w:tc>
          <w:tcPr/>
          <w:p>
            <w:pPr>
              <w:pStyle w:val="Compact"/>
              <w:bidi/>
              <w:jc w:val="left"/>
            </w:pPr>
            <w:r>
              <w:rPr>
                <w:rtl/>
              </w:rPr>
              <w:t xml:space="preserve">الشهر 28</w:t>
            </w:r>
          </w:p>
        </w:tc>
        <w:tc>
          <w:tcPr/>
          <w:p>
            <w:pPr>
              <w:pStyle w:val="Compact"/>
              <w:bidi/>
              <w:jc w:val="left"/>
            </w:pPr>
            <w:r>
              <w:rPr>
                <w:rtl/>
              </w:rPr>
              <w:t xml:space="preserve">تُحدَّد</w:t>
            </w:r>
          </w:p>
        </w:tc>
        <w:tc>
          <w:tcPr/>
          <w:p>
            <w:pPr>
              <w:pStyle w:val="Compact"/>
              <w:bidi/>
              <w:jc w:val="left"/>
            </w:pPr>
            <w:r>
              <w:rPr>
                <w:rtl/>
              </w:rPr>
              <w:t xml:space="preserve">الموازنة</w:t>
            </w:r>
          </w:p>
        </w:tc>
      </w:tr>
      <w:tr>
        <w:tc>
          <w:tcPr/>
          <w:p>
            <w:pPr>
              <w:pStyle w:val="Compact"/>
              <w:bidi/>
              <w:jc w:val="left"/>
            </w:pPr>
            <w:r>
              <w:rPr>
                <w:rtl/>
              </w:rPr>
              <w:t xml:space="preserve">الانتخابات العامة</w:t>
            </w:r>
          </w:p>
        </w:tc>
        <w:tc>
          <w:tcPr/>
          <w:p>
            <w:pPr>
              <w:pStyle w:val="Compact"/>
              <w:bidi/>
              <w:jc w:val="left"/>
            </w:pPr>
            <w:r>
              <w:rPr>
                <w:rtl/>
              </w:rPr>
              <w:t xml:space="preserve">مفوضية التعداد والانتخابات</w:t>
            </w:r>
          </w:p>
        </w:tc>
        <w:tc>
          <w:tcPr/>
          <w:p>
            <w:pPr>
              <w:pStyle w:val="Compact"/>
              <w:bidi/>
              <w:jc w:val="left"/>
            </w:pPr>
            <w:r>
              <w:rPr>
                <w:rtl/>
              </w:rPr>
              <w:t xml:space="preserve">الشركاء</w:t>
            </w:r>
          </w:p>
        </w:tc>
        <w:tc>
          <w:tcPr/>
          <w:p>
            <w:pPr>
              <w:pStyle w:val="Compact"/>
              <w:bidi/>
              <w:jc w:val="left"/>
            </w:pPr>
            <w:r>
              <w:rPr>
                <w:rtl/>
              </w:rPr>
              <w:t xml:space="preserve">24–30</w:t>
            </w:r>
          </w:p>
        </w:tc>
        <w:tc>
          <w:tcPr/>
          <w:p>
            <w:pPr>
              <w:pStyle w:val="Compact"/>
              <w:bidi/>
              <w:jc w:val="left"/>
            </w:pPr>
            <w:r>
              <w:rPr>
                <w:rtl/>
              </w:rPr>
              <w:t xml:space="preserve">إجراء الانتخابات</w:t>
            </w:r>
          </w:p>
        </w:tc>
        <w:tc>
          <w:tcPr/>
          <w:p>
            <w:pPr>
              <w:pStyle w:val="Compact"/>
              <w:bidi/>
              <w:jc w:val="left"/>
            </w:pPr>
            <w:r>
              <w:rPr>
                <w:rtl/>
              </w:rPr>
              <w:t xml:space="preserve">الشهر 30</w:t>
            </w:r>
          </w:p>
        </w:tc>
        <w:tc>
          <w:tcPr/>
          <w:p>
            <w:pPr>
              <w:pStyle w:val="Compact"/>
              <w:bidi/>
              <w:jc w:val="left"/>
            </w:pPr>
            <w:r>
              <w:rPr>
                <w:rtl/>
              </w:rPr>
              <w:t xml:space="preserve">تُحدَّد</w:t>
            </w:r>
          </w:p>
        </w:tc>
        <w:tc>
          <w:tcPr/>
          <w:p>
            <w:pPr>
              <w:pStyle w:val="Compact"/>
              <w:bidi/>
              <w:jc w:val="left"/>
            </w:pPr>
            <w:r>
              <w:rPr>
                <w:rtl/>
              </w:rPr>
              <w:t xml:space="preserve">الموازنة، الشركاء</w:t>
            </w:r>
          </w:p>
        </w:tc>
      </w:tr>
    </w:tbl>
    <w:p>
      <w:pPr>
        <w:bidi/>
      </w:pPr>
      <w:r>
        <w:rPr>
          <w:rtl/>
        </w:rPr>
        <w:br w:type="page"/>
      </w:r>
    </w:p>
    <w:bookmarkEnd w:id="42"/>
    <w:bookmarkStart w:id="43" w:name="Xcc7690e8157c5e748ec947f48dfa96817c701be"/>
    <w:p>
      <w:pPr>
        <w:pStyle w:val="Heading1"/>
        <w:bidi/>
      </w:pPr>
      <w:r>
        <w:rPr>
          <w:rtl/>
        </w:rPr>
        <w:t xml:space="preserve">الملحق الثاني: الإطار المالي للسنوات الثلاث</w:t>
      </w:r>
    </w:p>
    <w:p>
      <w:pPr>
        <w:pStyle w:val="FirstParagraph"/>
        <w:bidi/>
      </w:pPr>
      <w:r>
        <w:rPr>
          <w:i/>
          <w:iCs/>
          <w:rtl/>
        </w:rPr>
        <w:t xml:space="preserve">(السيناريو المعتدل، بالمليار دولار وبأسعار 2025 تقريباً. الإيرادات والناتج من الورقة الاقتصادية. المنح وخدمة الدين وتوزيع الإنفاق</w:t>
      </w:r>
      <w:r>
        <w:rPr>
          <w:i/>
          <w:iCs/>
          <w:rtl/>
        </w:rPr>
        <w:t xml:space="preserve"> </w:t>
      </w:r>
      <w:r>
        <w:rPr>
          <w:b/>
          <w:bCs/>
          <w:i/>
          <w:iCs/>
          <w:rtl/>
        </w:rPr>
        <w:t xml:space="preserve">افتراضات للتخطيط</w:t>
      </w:r>
      <w:r>
        <w:rPr>
          <w:i/>
          <w:iCs/>
          <w:rtl/>
        </w:rPr>
        <w:t xml:space="preserve">، تُراجع مع كل موازنة. ولا يشمل الجدول المساعدات الإنسانية التي تُصرف خارج الموازنة.)</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البند</w:t>
            </w:r>
          </w:p>
        </w:tc>
        <w:tc>
          <w:tcPr/>
          <w:p>
            <w:pPr>
              <w:pStyle w:val="Compact"/>
              <w:bidi/>
              <w:jc w:val="left"/>
            </w:pPr>
            <w:r>
              <w:rPr>
                <w:rtl/>
              </w:rPr>
              <w:t xml:space="preserve">السنة الأولى (2027)</w:t>
            </w:r>
          </w:p>
        </w:tc>
        <w:tc>
          <w:tcPr/>
          <w:p>
            <w:pPr>
              <w:pStyle w:val="Compact"/>
              <w:bidi/>
              <w:jc w:val="left"/>
            </w:pPr>
            <w:r>
              <w:rPr>
                <w:rtl/>
              </w:rPr>
              <w:t xml:space="preserve">السنة الثانية (2028)</w:t>
            </w:r>
          </w:p>
        </w:tc>
        <w:tc>
          <w:tcPr/>
          <w:p>
            <w:pPr>
              <w:pStyle w:val="Compact"/>
              <w:bidi/>
              <w:jc w:val="left"/>
            </w:pPr>
            <w:r>
              <w:rPr>
                <w:rtl/>
              </w:rPr>
              <w:t xml:space="preserve">السنة الثالثة (2029)</w:t>
            </w:r>
          </w:p>
        </w:tc>
      </w:tr>
      <w:tr>
        <w:tc>
          <w:tcPr/>
          <w:p>
            <w:pPr>
              <w:pStyle w:val="Compact"/>
              <w:bidi/>
              <w:jc w:val="left"/>
            </w:pPr>
            <w:r>
              <w:rPr>
                <w:rtl/>
              </w:rPr>
              <w:t xml:space="preserve">الناتج المحلي</w:t>
            </w:r>
          </w:p>
        </w:tc>
        <w:tc>
          <w:tcPr/>
          <w:p>
            <w:pPr>
              <w:pStyle w:val="Compact"/>
              <w:bidi/>
              <w:jc w:val="left"/>
            </w:pPr>
            <w:r>
              <w:rPr>
                <w:rtl/>
              </w:rPr>
              <w:t xml:space="preserve">67.3</w:t>
            </w:r>
          </w:p>
        </w:tc>
        <w:tc>
          <w:tcPr/>
          <w:p>
            <w:pPr>
              <w:pStyle w:val="Compact"/>
              <w:bidi/>
              <w:jc w:val="left"/>
            </w:pPr>
            <w:r>
              <w:rPr>
                <w:rtl/>
              </w:rPr>
              <w:t xml:space="preserve">71.4</w:t>
            </w:r>
          </w:p>
        </w:tc>
        <w:tc>
          <w:tcPr/>
          <w:p>
            <w:pPr>
              <w:pStyle w:val="Compact"/>
              <w:bidi/>
              <w:jc w:val="left"/>
            </w:pPr>
            <w:r>
              <w:rPr>
                <w:rtl/>
              </w:rPr>
              <w:t xml:space="preserve">75.6</w:t>
            </w:r>
          </w:p>
        </w:tc>
      </w:tr>
      <w:tr>
        <w:tc>
          <w:tcPr/>
          <w:p>
            <w:pPr>
              <w:pStyle w:val="Compact"/>
              <w:bidi/>
              <w:jc w:val="left"/>
            </w:pPr>
            <w:r>
              <w:rPr>
                <w:rtl/>
              </w:rPr>
              <w:t xml:space="preserve">الإيرادات من الناتج</w:t>
            </w:r>
          </w:p>
        </w:tc>
        <w:tc>
          <w:tcPr/>
          <w:p>
            <w:pPr>
              <w:pStyle w:val="Compact"/>
              <w:bidi/>
              <w:jc w:val="left"/>
            </w:pPr>
            <w:r>
              <w:rPr>
                <w:rtl/>
              </w:rPr>
              <w:t xml:space="preserve">6.5%</w:t>
            </w:r>
          </w:p>
        </w:tc>
        <w:tc>
          <w:tcPr/>
          <w:p>
            <w:pPr>
              <w:pStyle w:val="Compact"/>
              <w:bidi/>
              <w:jc w:val="left"/>
            </w:pPr>
            <w:r>
              <w:rPr>
                <w:rtl/>
              </w:rPr>
              <w:t xml:space="preserve">8%</w:t>
            </w:r>
          </w:p>
        </w:tc>
        <w:tc>
          <w:tcPr/>
          <w:p>
            <w:pPr>
              <w:pStyle w:val="Compact"/>
              <w:bidi/>
              <w:jc w:val="left"/>
            </w:pPr>
            <w:r>
              <w:rPr>
                <w:rtl/>
              </w:rPr>
              <w:t xml:space="preserve">9.5%</w:t>
            </w:r>
          </w:p>
        </w:tc>
      </w:tr>
      <w:tr>
        <w:tc>
          <w:tcPr/>
          <w:p>
            <w:pPr>
              <w:pStyle w:val="Compact"/>
              <w:bidi/>
              <w:jc w:val="left"/>
            </w:pPr>
            <w:r>
              <w:rPr>
                <w:b/>
                <w:bCs/>
                <w:rtl/>
              </w:rPr>
              <w:t xml:space="preserve">الإيرادات الذاتية</w:t>
            </w:r>
          </w:p>
        </w:tc>
        <w:tc>
          <w:tcPr/>
          <w:p>
            <w:pPr>
              <w:pStyle w:val="Compact"/>
              <w:bidi/>
              <w:jc w:val="left"/>
            </w:pPr>
            <w:r>
              <w:rPr>
                <w:b/>
                <w:bCs/>
                <w:rtl/>
              </w:rPr>
              <w:t xml:space="preserve">4.4</w:t>
            </w:r>
          </w:p>
        </w:tc>
        <w:tc>
          <w:tcPr/>
          <w:p>
            <w:pPr>
              <w:pStyle w:val="Compact"/>
              <w:bidi/>
              <w:jc w:val="left"/>
            </w:pPr>
            <w:r>
              <w:rPr>
                <w:b/>
                <w:bCs/>
                <w:rtl/>
              </w:rPr>
              <w:t xml:space="preserve">5.7</w:t>
            </w:r>
          </w:p>
        </w:tc>
        <w:tc>
          <w:tcPr/>
          <w:p>
            <w:pPr>
              <w:pStyle w:val="Compact"/>
              <w:bidi/>
              <w:jc w:val="left"/>
            </w:pPr>
            <w:r>
              <w:rPr>
                <w:b/>
                <w:bCs/>
                <w:rtl/>
              </w:rPr>
              <w:t xml:space="preserve">7.2</w:t>
            </w:r>
          </w:p>
        </w:tc>
      </w:tr>
      <w:tr>
        <w:tc>
          <w:tcPr/>
          <w:p>
            <w:pPr>
              <w:pStyle w:val="Compact"/>
              <w:bidi/>
              <w:jc w:val="left"/>
            </w:pPr>
            <w:r>
              <w:rPr>
                <w:rtl/>
              </w:rPr>
              <w:t xml:space="preserve">المنح والتمويل الميسر للموازنة (افتراض)</w:t>
            </w:r>
          </w:p>
        </w:tc>
        <w:tc>
          <w:tcPr/>
          <w:p>
            <w:pPr>
              <w:pStyle w:val="Compact"/>
              <w:bidi/>
              <w:jc w:val="left"/>
            </w:pPr>
            <w:r>
              <w:rPr>
                <w:rtl/>
              </w:rPr>
              <w:t xml:space="preserve">3.0</w:t>
            </w:r>
          </w:p>
        </w:tc>
        <w:tc>
          <w:tcPr/>
          <w:p>
            <w:pPr>
              <w:pStyle w:val="Compact"/>
              <w:bidi/>
              <w:jc w:val="left"/>
            </w:pPr>
            <w:r>
              <w:rPr>
                <w:rtl/>
              </w:rPr>
              <w:t xml:space="preserve">3.5</w:t>
            </w:r>
          </w:p>
        </w:tc>
        <w:tc>
          <w:tcPr/>
          <w:p>
            <w:pPr>
              <w:pStyle w:val="Compact"/>
              <w:bidi/>
              <w:jc w:val="left"/>
            </w:pPr>
            <w:r>
              <w:rPr>
                <w:rtl/>
              </w:rPr>
              <w:t xml:space="preserve">4.0</w:t>
            </w:r>
          </w:p>
        </w:tc>
      </w:tr>
      <w:tr>
        <w:tc>
          <w:tcPr/>
          <w:p>
            <w:pPr>
              <w:pStyle w:val="Compact"/>
              <w:bidi/>
              <w:jc w:val="left"/>
            </w:pPr>
            <w:r>
              <w:rPr>
                <w:b/>
                <w:bCs/>
                <w:rtl/>
              </w:rPr>
              <w:t xml:space="preserve">إجمالي الموارد</w:t>
            </w:r>
          </w:p>
        </w:tc>
        <w:tc>
          <w:tcPr/>
          <w:p>
            <w:pPr>
              <w:pStyle w:val="Compact"/>
              <w:bidi/>
              <w:jc w:val="left"/>
            </w:pPr>
            <w:r>
              <w:rPr>
                <w:b/>
                <w:bCs/>
                <w:rtl/>
              </w:rPr>
              <w:t xml:space="preserve">7.4</w:t>
            </w:r>
          </w:p>
        </w:tc>
        <w:tc>
          <w:tcPr/>
          <w:p>
            <w:pPr>
              <w:pStyle w:val="Compact"/>
              <w:bidi/>
              <w:jc w:val="left"/>
            </w:pPr>
            <w:r>
              <w:rPr>
                <w:b/>
                <w:bCs/>
                <w:rtl/>
              </w:rPr>
              <w:t xml:space="preserve">9.2</w:t>
            </w:r>
          </w:p>
        </w:tc>
        <w:tc>
          <w:tcPr/>
          <w:p>
            <w:pPr>
              <w:pStyle w:val="Compact"/>
              <w:bidi/>
              <w:jc w:val="left"/>
            </w:pPr>
            <w:r>
              <w:rPr>
                <w:b/>
                <w:bCs/>
                <w:rtl/>
              </w:rPr>
              <w:t xml:space="preserve">11.2</w:t>
            </w:r>
          </w:p>
        </w:tc>
      </w:tr>
      <w:tr>
        <w:tc>
          <w:tcPr/>
          <w:p>
            <w:pPr>
              <w:pStyle w:val="Compact"/>
              <w:bidi/>
              <w:jc w:val="left"/>
            </w:pPr>
            <w:r>
              <w:rPr>
                <w:rtl/>
              </w:rPr>
              <w:t xml:space="preserve">الدفاع (من الناتج)</w:t>
            </w:r>
          </w:p>
        </w:tc>
        <w:tc>
          <w:tcPr/>
          <w:p>
            <w:pPr>
              <w:pStyle w:val="Compact"/>
              <w:bidi/>
              <w:jc w:val="left"/>
            </w:pPr>
            <w:r>
              <w:rPr>
                <w:rtl/>
              </w:rPr>
              <w:t xml:space="preserve">6% (4.0)</w:t>
            </w:r>
          </w:p>
        </w:tc>
        <w:tc>
          <w:tcPr/>
          <w:p>
            <w:pPr>
              <w:pStyle w:val="Compact"/>
              <w:bidi/>
              <w:jc w:val="left"/>
            </w:pPr>
            <w:r>
              <w:rPr>
                <w:rtl/>
              </w:rPr>
              <w:t xml:space="preserve">5% (3.6)</w:t>
            </w:r>
          </w:p>
        </w:tc>
        <w:tc>
          <w:tcPr/>
          <w:p>
            <w:pPr>
              <w:pStyle w:val="Compact"/>
              <w:bidi/>
              <w:jc w:val="left"/>
            </w:pPr>
            <w:r>
              <w:rPr>
                <w:rtl/>
              </w:rPr>
              <w:t xml:space="preserve">5% (3.8)</w:t>
            </w:r>
          </w:p>
        </w:tc>
      </w:tr>
      <w:tr>
        <w:tc>
          <w:tcPr/>
          <w:p>
            <w:pPr>
              <w:pStyle w:val="Compact"/>
              <w:bidi/>
              <w:jc w:val="left"/>
            </w:pPr>
            <w:r>
              <w:rPr>
                <w:rtl/>
              </w:rPr>
              <w:t xml:space="preserve">خدمة الدين (افتراض، في انتظار الإعفاء)</w:t>
            </w:r>
          </w:p>
        </w:tc>
        <w:tc>
          <w:tcPr/>
          <w:p>
            <w:pPr>
              <w:pStyle w:val="Compact"/>
              <w:bidi/>
              <w:jc w:val="left"/>
            </w:pPr>
            <w:r>
              <w:rPr>
                <w:rtl/>
              </w:rPr>
              <w:t xml:space="preserve">0.3</w:t>
            </w:r>
          </w:p>
        </w:tc>
        <w:tc>
          <w:tcPr/>
          <w:p>
            <w:pPr>
              <w:pStyle w:val="Compact"/>
              <w:bidi/>
              <w:jc w:val="left"/>
            </w:pPr>
            <w:r>
              <w:rPr>
                <w:rtl/>
              </w:rPr>
              <w:t xml:space="preserve">0.4</w:t>
            </w:r>
          </w:p>
        </w:tc>
        <w:tc>
          <w:tcPr/>
          <w:p>
            <w:pPr>
              <w:pStyle w:val="Compact"/>
              <w:bidi/>
              <w:jc w:val="left"/>
            </w:pPr>
            <w:r>
              <w:rPr>
                <w:rtl/>
              </w:rPr>
              <w:t xml:space="preserve">0.5</w:t>
            </w:r>
          </w:p>
        </w:tc>
      </w:tr>
      <w:tr>
        <w:tc>
          <w:tcPr/>
          <w:p>
            <w:pPr>
              <w:pStyle w:val="Compact"/>
              <w:bidi/>
              <w:jc w:val="left"/>
            </w:pPr>
            <w:r>
              <w:rPr>
                <w:b/>
                <w:bCs/>
                <w:rtl/>
              </w:rPr>
              <w:t xml:space="preserve">الموارد المتاحة للإنفاق المدني</w:t>
            </w:r>
          </w:p>
        </w:tc>
        <w:tc>
          <w:tcPr/>
          <w:p>
            <w:pPr>
              <w:pStyle w:val="Compact"/>
              <w:bidi/>
              <w:jc w:val="left"/>
            </w:pPr>
            <w:r>
              <w:rPr>
                <w:b/>
                <w:bCs/>
                <w:rtl/>
              </w:rPr>
              <w:t xml:space="preserve">3.1</w:t>
            </w:r>
          </w:p>
        </w:tc>
        <w:tc>
          <w:tcPr/>
          <w:p>
            <w:pPr>
              <w:pStyle w:val="Compact"/>
              <w:bidi/>
              <w:jc w:val="left"/>
            </w:pPr>
            <w:r>
              <w:rPr>
                <w:b/>
                <w:bCs/>
                <w:rtl/>
              </w:rPr>
              <w:t xml:space="preserve">5.2</w:t>
            </w:r>
          </w:p>
        </w:tc>
        <w:tc>
          <w:tcPr/>
          <w:p>
            <w:pPr>
              <w:pStyle w:val="Compact"/>
              <w:bidi/>
              <w:jc w:val="left"/>
            </w:pPr>
            <w:r>
              <w:rPr>
                <w:b/>
                <w:bCs/>
                <w:rtl/>
              </w:rPr>
              <w:t xml:space="preserve">6.9</w:t>
            </w:r>
          </w:p>
        </w:tc>
      </w:tr>
      <w:tr>
        <w:tc>
          <w:tcPr/>
          <w:p>
            <w:pPr>
              <w:pStyle w:val="Compact"/>
              <w:bidi/>
              <w:jc w:val="left"/>
            </w:pPr>
            <w:r>
              <w:rPr>
                <w:rtl/>
              </w:rPr>
              <w:t xml:space="preserve">التعليم</w:t>
            </w:r>
          </w:p>
        </w:tc>
        <w:tc>
          <w:tcPr/>
          <w:p>
            <w:pPr>
              <w:pStyle w:val="Compact"/>
              <w:bidi/>
              <w:jc w:val="left"/>
            </w:pPr>
            <w:r>
              <w:rPr>
                <w:rtl/>
              </w:rPr>
              <w:t xml:space="preserve">0.4</w:t>
            </w:r>
          </w:p>
        </w:tc>
        <w:tc>
          <w:tcPr/>
          <w:p>
            <w:pPr>
              <w:pStyle w:val="Compact"/>
              <w:bidi/>
              <w:jc w:val="left"/>
            </w:pPr>
            <w:r>
              <w:rPr>
                <w:rtl/>
              </w:rPr>
              <w:t xml:space="preserve">0.6</w:t>
            </w:r>
          </w:p>
        </w:tc>
        <w:tc>
          <w:tcPr/>
          <w:p>
            <w:pPr>
              <w:pStyle w:val="Compact"/>
              <w:bidi/>
              <w:jc w:val="left"/>
            </w:pPr>
            <w:r>
              <w:rPr>
                <w:rtl/>
              </w:rPr>
              <w:t xml:space="preserve">0.8</w:t>
            </w:r>
          </w:p>
        </w:tc>
      </w:tr>
      <w:tr>
        <w:tc>
          <w:tcPr/>
          <w:p>
            <w:pPr>
              <w:pStyle w:val="Compact"/>
              <w:bidi/>
              <w:jc w:val="left"/>
            </w:pPr>
            <w:r>
              <w:rPr>
                <w:rtl/>
              </w:rPr>
              <w:t xml:space="preserve">الصحة</w:t>
            </w:r>
          </w:p>
        </w:tc>
        <w:tc>
          <w:tcPr/>
          <w:p>
            <w:pPr>
              <w:pStyle w:val="Compact"/>
              <w:bidi/>
              <w:jc w:val="left"/>
            </w:pPr>
            <w:r>
              <w:rPr>
                <w:rtl/>
              </w:rPr>
              <w:t xml:space="preserve">0.4</w:t>
            </w:r>
          </w:p>
        </w:tc>
        <w:tc>
          <w:tcPr/>
          <w:p>
            <w:pPr>
              <w:pStyle w:val="Compact"/>
              <w:bidi/>
              <w:jc w:val="left"/>
            </w:pPr>
            <w:r>
              <w:rPr>
                <w:rtl/>
              </w:rPr>
              <w:t xml:space="preserve">0.6</w:t>
            </w:r>
          </w:p>
        </w:tc>
        <w:tc>
          <w:tcPr/>
          <w:p>
            <w:pPr>
              <w:pStyle w:val="Compact"/>
              <w:bidi/>
              <w:jc w:val="left"/>
            </w:pPr>
            <w:r>
              <w:rPr>
                <w:rtl/>
              </w:rPr>
              <w:t xml:space="preserve">0.8</w:t>
            </w:r>
          </w:p>
        </w:tc>
      </w:tr>
      <w:tr>
        <w:tc>
          <w:tcPr/>
          <w:p>
            <w:pPr>
              <w:pStyle w:val="Compact"/>
              <w:bidi/>
              <w:jc w:val="left"/>
            </w:pPr>
            <w:r>
              <w:rPr>
                <w:rtl/>
              </w:rPr>
              <w:t xml:space="preserve">الحماية الاجتماعية (حصة الموازنة)</w:t>
            </w:r>
          </w:p>
        </w:tc>
        <w:tc>
          <w:tcPr/>
          <w:p>
            <w:pPr>
              <w:pStyle w:val="Compact"/>
              <w:bidi/>
              <w:jc w:val="left"/>
            </w:pPr>
            <w:r>
              <w:rPr>
                <w:rtl/>
              </w:rPr>
              <w:t xml:space="preserve">0.5</w:t>
            </w:r>
          </w:p>
        </w:tc>
        <w:tc>
          <w:tcPr/>
          <w:p>
            <w:pPr>
              <w:pStyle w:val="Compact"/>
              <w:bidi/>
              <w:jc w:val="left"/>
            </w:pPr>
            <w:r>
              <w:rPr>
                <w:rtl/>
              </w:rPr>
              <w:t xml:space="preserve">0.8</w:t>
            </w:r>
          </w:p>
        </w:tc>
        <w:tc>
          <w:tcPr/>
          <w:p>
            <w:pPr>
              <w:pStyle w:val="Compact"/>
              <w:bidi/>
              <w:jc w:val="left"/>
            </w:pPr>
            <w:r>
              <w:rPr>
                <w:rtl/>
              </w:rPr>
              <w:t xml:space="preserve">1.0</w:t>
            </w:r>
          </w:p>
        </w:tc>
      </w:tr>
      <w:tr>
        <w:tc>
          <w:tcPr/>
          <w:p>
            <w:pPr>
              <w:pStyle w:val="Compact"/>
              <w:bidi/>
              <w:jc w:val="left"/>
            </w:pPr>
            <w:r>
              <w:rPr>
                <w:rtl/>
              </w:rPr>
              <w:t xml:space="preserve">مدخلات الزراعة</w:t>
            </w:r>
          </w:p>
        </w:tc>
        <w:tc>
          <w:tcPr/>
          <w:p>
            <w:pPr>
              <w:pStyle w:val="Compact"/>
              <w:bidi/>
              <w:jc w:val="left"/>
            </w:pPr>
            <w:r>
              <w:rPr>
                <w:rtl/>
              </w:rPr>
              <w:t xml:space="preserve">0.3</w:t>
            </w:r>
          </w:p>
        </w:tc>
        <w:tc>
          <w:tcPr/>
          <w:p>
            <w:pPr>
              <w:pStyle w:val="Compact"/>
              <w:bidi/>
              <w:jc w:val="left"/>
            </w:pPr>
            <w:r>
              <w:rPr>
                <w:rtl/>
              </w:rPr>
              <w:t xml:space="preserve">0.4</w:t>
            </w:r>
          </w:p>
        </w:tc>
        <w:tc>
          <w:tcPr/>
          <w:p>
            <w:pPr>
              <w:pStyle w:val="Compact"/>
              <w:bidi/>
              <w:jc w:val="left"/>
            </w:pPr>
            <w:r>
              <w:rPr>
                <w:rtl/>
              </w:rPr>
              <w:t xml:space="preserve">0.5</w:t>
            </w:r>
          </w:p>
        </w:tc>
      </w:tr>
      <w:tr>
        <w:tc>
          <w:tcPr/>
          <w:p>
            <w:pPr>
              <w:pStyle w:val="Compact"/>
              <w:bidi/>
              <w:jc w:val="left"/>
            </w:pPr>
            <w:r>
              <w:rPr>
                <w:rtl/>
              </w:rPr>
              <w:t xml:space="preserve">الاستثمار في الإعمار والبنية التحتية</w:t>
            </w:r>
          </w:p>
        </w:tc>
        <w:tc>
          <w:tcPr/>
          <w:p>
            <w:pPr>
              <w:pStyle w:val="Compact"/>
              <w:bidi/>
              <w:jc w:val="left"/>
            </w:pPr>
            <w:r>
              <w:rPr>
                <w:rtl/>
              </w:rPr>
              <w:t xml:space="preserve">0.5</w:t>
            </w:r>
          </w:p>
        </w:tc>
        <w:tc>
          <w:tcPr/>
          <w:p>
            <w:pPr>
              <w:pStyle w:val="Compact"/>
              <w:bidi/>
              <w:jc w:val="left"/>
            </w:pPr>
            <w:r>
              <w:rPr>
                <w:rtl/>
              </w:rPr>
              <w:t xml:space="preserve">1.3</w:t>
            </w:r>
          </w:p>
        </w:tc>
        <w:tc>
          <w:tcPr/>
          <w:p>
            <w:pPr>
              <w:pStyle w:val="Compact"/>
              <w:bidi/>
              <w:jc w:val="left"/>
            </w:pPr>
            <w:r>
              <w:rPr>
                <w:rtl/>
              </w:rPr>
              <w:t xml:space="preserve">1.9</w:t>
            </w:r>
          </w:p>
        </w:tc>
      </w:tr>
      <w:tr>
        <w:tc>
          <w:tcPr/>
          <w:p>
            <w:pPr>
              <w:pStyle w:val="Compact"/>
              <w:bidi/>
              <w:jc w:val="left"/>
            </w:pPr>
            <w:r>
              <w:rPr>
                <w:rtl/>
              </w:rPr>
              <w:t xml:space="preserve">الرواتب والتشغيل المدني</w:t>
            </w:r>
          </w:p>
        </w:tc>
        <w:tc>
          <w:tcPr/>
          <w:p>
            <w:pPr>
              <w:pStyle w:val="Compact"/>
              <w:bidi/>
              <w:jc w:val="left"/>
            </w:pPr>
            <w:r>
              <w:rPr>
                <w:rtl/>
              </w:rPr>
              <w:t xml:space="preserve">1.0</w:t>
            </w:r>
          </w:p>
        </w:tc>
        <w:tc>
          <w:tcPr/>
          <w:p>
            <w:pPr>
              <w:pStyle w:val="Compact"/>
              <w:bidi/>
              <w:jc w:val="left"/>
            </w:pPr>
            <w:r>
              <w:rPr>
                <w:rtl/>
              </w:rPr>
              <w:t xml:space="preserve">1.5</w:t>
            </w:r>
          </w:p>
        </w:tc>
        <w:tc>
          <w:tcPr/>
          <w:p>
            <w:pPr>
              <w:pStyle w:val="Compact"/>
              <w:bidi/>
              <w:jc w:val="left"/>
            </w:pPr>
            <w:r>
              <w:rPr>
                <w:rtl/>
              </w:rPr>
              <w:t xml:space="preserve">1.9</w:t>
            </w:r>
          </w:p>
        </w:tc>
      </w:tr>
    </w:tbl>
    <w:p>
      <w:pPr>
        <w:pStyle w:val="BodyText"/>
        <w:bidi/>
      </w:pPr>
      <w:r>
        <w:rPr>
          <w:b/>
          <w:bCs/>
          <w:rtl/>
        </w:rPr>
        <w:t xml:space="preserve">قراءة الجدول:</w:t>
      </w:r>
    </w:p>
    <w:p>
      <w:pPr>
        <w:pStyle w:val="Compact"/>
        <w:numPr>
          <w:ilvl w:val="0"/>
          <w:numId w:val="1006"/>
        </w:numPr>
        <w:bidi/>
      </w:pPr>
      <w:r>
        <w:rPr>
          <w:b/>
          <w:bCs/>
          <w:rtl/>
        </w:rPr>
        <w:t xml:space="preserve">تعريف الإيرادات:</w:t>
      </w:r>
      <w:r>
        <w:rPr>
          <w:rtl/>
        </w:rPr>
        <w:t xml:space="preserve"> </w:t>
      </w:r>
      <w:r>
        <w:rPr>
          <w:rtl/>
        </w:rPr>
        <w:t xml:space="preserve">المقصود</w:t>
      </w:r>
      <w:r>
        <w:rPr>
          <w:rtl/>
        </w:rPr>
        <w:t xml:space="preserve"> </w:t>
      </w:r>
      <w:r>
        <w:rPr>
          <w:b/>
          <w:bCs/>
          <w:rtl/>
        </w:rPr>
        <w:t xml:space="preserve">إيرادات الحكومة العامة</w:t>
      </w:r>
      <w:r>
        <w:rPr>
          <w:rtl/>
        </w:rPr>
        <w:t xml:space="preserve"> </w:t>
      </w:r>
      <w:r>
        <w:rPr>
          <w:rtl/>
        </w:rPr>
        <w:t xml:space="preserve">(الاتحادية والإقليمية معاً)، الضريبية وغير الضريبية، بما فيها عائدات الموارد الطبيعية، منسوبة إلى</w:t>
      </w:r>
      <w:r>
        <w:rPr>
          <w:rtl/>
        </w:rPr>
        <w:t xml:space="preserve"> </w:t>
      </w:r>
      <w:r>
        <w:rPr>
          <w:b/>
          <w:bCs/>
          <w:rtl/>
        </w:rPr>
        <w:t xml:space="preserve">الناتج الاسمي</w:t>
      </w:r>
      <w:r>
        <w:rPr>
          <w:rtl/>
        </w:rPr>
        <w:t xml:space="preserve">، وفق تعريفات صندوق النقد الدولي لإحصاءات مالية الحكومة. ويعتمد خط الأساس (4.2% في 2025) على تقديرات البنك الدولي.</w:t>
      </w:r>
    </w:p>
    <w:p>
      <w:pPr>
        <w:pStyle w:val="Compact"/>
        <w:numPr>
          <w:ilvl w:val="0"/>
          <w:numId w:val="1006"/>
        </w:numPr>
        <w:bidi/>
      </w:pPr>
      <w:r>
        <w:rPr>
          <w:b/>
          <w:bCs/>
          <w:rtl/>
        </w:rPr>
        <w:t xml:space="preserve">الدفاع في السنة الأولى 6% من الناتج</w:t>
      </w:r>
      <w:r>
        <w:rPr>
          <w:rtl/>
        </w:rPr>
        <w:t xml:space="preserve">، على افتراض أن الحرب تنتهي خلال الأشهر الثمانية عشر الأولى وأن الإنفاق يتراجع تدريجياً من مستواه الحالي (نحو 8% رسمياً). وإذا استمرت الحرب، يرتفع الدفاع إلى سقفه (10%)، ويتقلص الإنفاق المدني بما يعادل ذلك، ما لم يرتفع الدعم الخارجي.</w:t>
      </w:r>
    </w:p>
    <w:p>
      <w:pPr>
        <w:pStyle w:val="Compact"/>
        <w:numPr>
          <w:ilvl w:val="0"/>
          <w:numId w:val="1006"/>
        </w:numPr>
        <w:bidi/>
      </w:pPr>
      <w:r>
        <w:rPr>
          <w:b/>
          <w:bCs/>
          <w:rtl/>
        </w:rPr>
        <w:t xml:space="preserve">الموارد المدنية في السنة الأولى (3.1 مليار دولار) أقل بكثير من الحاجة.</w:t>
      </w:r>
      <w:r>
        <w:rPr>
          <w:rtl/>
        </w:rPr>
        <w:t xml:space="preserve"> </w:t>
      </w:r>
      <w:r>
        <w:rPr>
          <w:rtl/>
        </w:rPr>
        <w:t xml:space="preserve">ولذلك يعتمد البرنامج على المساعدات الإنسانية خارج الموازنة، وعلى الشركاء في تمويل برامج كاملة (الدمج والتسريح، والتحويلات النقدية، والتعليم والصحة الطارئين).</w:t>
      </w:r>
    </w:p>
    <w:p>
      <w:pPr>
        <w:pStyle w:val="Compact"/>
        <w:numPr>
          <w:ilvl w:val="0"/>
          <w:numId w:val="1006"/>
        </w:numPr>
        <w:bidi/>
      </w:pPr>
      <w:r>
        <w:rPr>
          <w:b/>
          <w:bCs/>
          <w:rtl/>
        </w:rPr>
        <w:t xml:space="preserve">التعليم والصحة يبلغان 7% من إجمالي الموارد في السنة الثالثة</w:t>
      </w:r>
      <w:r>
        <w:rPr>
          <w:rtl/>
        </w:rPr>
        <w:t xml:space="preserve">، كما تستهدف الرؤية لنهاية الانتقال.</w:t>
      </w:r>
    </w:p>
    <w:p>
      <w:pPr>
        <w:bidi/>
      </w:pPr>
      <w:r>
        <w:rPr>
          <w:rtl/>
        </w:rPr>
        <w:br w:type="page"/>
      </w:r>
    </w:p>
    <w:bookmarkEnd w:id="43"/>
    <w:bookmarkStart w:id="44" w:name="الملحق-الثالث-قاموس-المؤشرات"/>
    <w:p>
      <w:pPr>
        <w:pStyle w:val="Heading1"/>
        <w:bidi/>
      </w:pPr>
      <w:r>
        <w:rPr>
          <w:rtl/>
        </w:rPr>
        <w:t xml:space="preserve">الملحق الثالث: قاموس المؤشرات</w:t>
      </w:r>
    </w:p>
    <w:tbl>
      <w:tblPr>
        <w:tblStyle w:val="Table"/>
        <w:bidiVisual/>
        <w:tblW w:w="5000" w:type="pct"/>
        <w:jc w:val="start"/>
        <w:tblLook w:val="04A0" w:firstRow="1" w:lastRow="0" w:firstColumn="0" w:lastColumn="0" w:noHBand="0" w:noVBand="1"/>
      </w:tblPr>
      <w:tblGrid>
        <w:gridCol w:w="1320"/>
        <w:gridCol w:w="1320"/>
        <w:gridCol w:w="1320"/>
        <w:gridCol w:w="1320"/>
        <w:gridCol w:w="1320"/>
        <w:gridCol w:w="1320"/>
      </w:tblGrid>
      <w:tr>
        <w:trPr>
          <w:tblHeader w:val="true"/>
        </w:trPr>
        <w:tc>
          <w:tcPr/>
          <w:p>
            <w:pPr>
              <w:pStyle w:val="Compact"/>
              <w:bidi/>
              <w:jc w:val="left"/>
            </w:pPr>
            <w:r>
              <w:rPr>
                <w:rtl/>
              </w:rPr>
              <w:t xml:space="preserve">المؤشر</w:t>
            </w:r>
          </w:p>
        </w:tc>
        <w:tc>
          <w:tcPr/>
          <w:p>
            <w:pPr>
              <w:pStyle w:val="Compact"/>
              <w:bidi/>
              <w:jc w:val="left"/>
            </w:pPr>
            <w:r>
              <w:rPr>
                <w:rtl/>
              </w:rPr>
              <w:t xml:space="preserve">التعريف وطريقة القياس</w:t>
            </w:r>
          </w:p>
        </w:tc>
        <w:tc>
          <w:tcPr/>
          <w:p>
            <w:pPr>
              <w:pStyle w:val="Compact"/>
              <w:bidi/>
              <w:jc w:val="left"/>
            </w:pPr>
            <w:r>
              <w:rPr>
                <w:rtl/>
              </w:rPr>
              <w:t xml:space="preserve">خط الأساس</w:t>
            </w:r>
          </w:p>
        </w:tc>
        <w:tc>
          <w:tcPr/>
          <w:p>
            <w:pPr>
              <w:pStyle w:val="Compact"/>
              <w:bidi/>
              <w:jc w:val="left"/>
            </w:pPr>
            <w:r>
              <w:rPr>
                <w:rtl/>
              </w:rPr>
              <w:t xml:space="preserve">مصدر البيانات</w:t>
            </w:r>
          </w:p>
        </w:tc>
        <w:tc>
          <w:tcPr/>
          <w:p>
            <w:pPr>
              <w:pStyle w:val="Compact"/>
              <w:bidi/>
              <w:jc w:val="left"/>
            </w:pPr>
            <w:r>
              <w:rPr>
                <w:rtl/>
              </w:rPr>
              <w:t xml:space="preserve">الجهة القائسة</w:t>
            </w:r>
          </w:p>
        </w:tc>
        <w:tc>
          <w:tcPr/>
          <w:p>
            <w:pPr>
              <w:pStyle w:val="Compact"/>
              <w:bidi/>
              <w:jc w:val="left"/>
            </w:pPr>
            <w:r>
              <w:rPr>
                <w:rtl/>
              </w:rPr>
              <w:t xml:space="preserve">الدورية</w:t>
            </w:r>
          </w:p>
        </w:tc>
      </w:tr>
      <w:tr>
        <w:tc>
          <w:tcPr/>
          <w:p>
            <w:pPr>
              <w:pStyle w:val="Compact"/>
              <w:bidi/>
              <w:jc w:val="left"/>
            </w:pPr>
            <w:r>
              <w:rPr>
                <w:b/>
                <w:bCs/>
                <w:rtl/>
              </w:rPr>
              <w:t xml:space="preserve">خفض التشكيلات المسلحة خارج الدولة</w:t>
            </w:r>
          </w:p>
        </w:tc>
        <w:tc>
          <w:tcPr/>
          <w:p>
            <w:pPr>
              <w:pStyle w:val="Compact"/>
              <w:bidi/>
              <w:jc w:val="left"/>
            </w:pPr>
            <w:r>
              <w:rPr>
                <w:rtl/>
              </w:rPr>
              <w:t xml:space="preserve">نسبة الانخفاض في</w:t>
            </w:r>
            <w:r>
              <w:rPr>
                <w:rtl/>
              </w:rPr>
              <w:t xml:space="preserve"> </w:t>
            </w:r>
            <w:r>
              <w:rPr>
                <w:b/>
                <w:bCs/>
                <w:rtl/>
              </w:rPr>
              <w:t xml:space="preserve">عدد المقاتلين</w:t>
            </w:r>
            <w:r>
              <w:rPr>
                <w:rtl/>
              </w:rPr>
              <w:t xml:space="preserve"> </w:t>
            </w:r>
            <w:r>
              <w:rPr>
                <w:rtl/>
              </w:rPr>
              <w:t xml:space="preserve">المنتمين إلى تشكيلات خارج القوات المسلحة والنظامية، مقارنة بعددهم المسجل عند بدء البرنامج</w:t>
            </w:r>
          </w:p>
        </w:tc>
        <w:tc>
          <w:tcPr/>
          <w:p>
            <w:pPr>
              <w:pStyle w:val="Compact"/>
              <w:bidi/>
              <w:jc w:val="left"/>
            </w:pPr>
            <w:r>
              <w:rPr>
                <w:rtl/>
              </w:rPr>
              <w:t xml:space="preserve">يُحدَّد عند بدء التسجيل (الشهر 6)</w:t>
            </w:r>
          </w:p>
        </w:tc>
        <w:tc>
          <w:tcPr/>
          <w:p>
            <w:pPr>
              <w:pStyle w:val="Compact"/>
              <w:bidi/>
              <w:jc w:val="left"/>
            </w:pPr>
            <w:r>
              <w:rPr>
                <w:rtl/>
              </w:rPr>
              <w:t xml:space="preserve">سجل برنامج الدمج والتسريح</w:t>
            </w:r>
          </w:p>
        </w:tc>
        <w:tc>
          <w:tcPr/>
          <w:p>
            <w:pPr>
              <w:pStyle w:val="Compact"/>
              <w:bidi/>
              <w:jc w:val="left"/>
            </w:pPr>
            <w:r>
              <w:rPr>
                <w:rtl/>
              </w:rPr>
              <w:t xml:space="preserve">وزارة الدفاع، مع تحقق مستقل</w:t>
            </w:r>
          </w:p>
        </w:tc>
        <w:tc>
          <w:tcPr/>
          <w:p>
            <w:pPr>
              <w:pStyle w:val="Compact"/>
              <w:bidi/>
              <w:jc w:val="left"/>
            </w:pPr>
            <w:r>
              <w:rPr>
                <w:rtl/>
              </w:rPr>
              <w:t xml:space="preserve">ربع سنوية</w:t>
            </w:r>
          </w:p>
        </w:tc>
      </w:tr>
      <w:tr>
        <w:tc>
          <w:tcPr/>
          <w:p>
            <w:pPr>
              <w:pStyle w:val="Compact"/>
              <w:bidi/>
              <w:jc w:val="left"/>
            </w:pPr>
            <w:r>
              <w:rPr>
                <w:b/>
                <w:bCs/>
                <w:rtl/>
              </w:rPr>
              <w:t xml:space="preserve">المسرَّحون أو المدموجون</w:t>
            </w:r>
          </w:p>
        </w:tc>
        <w:tc>
          <w:tcPr/>
          <w:p>
            <w:pPr>
              <w:pStyle w:val="Compact"/>
              <w:bidi/>
              <w:jc w:val="left"/>
            </w:pPr>
            <w:r>
              <w:rPr>
                <w:rtl/>
              </w:rPr>
              <w:t xml:space="preserve">عدد المقاتلين الذين أكملوا التسريح أو التدريب الموحد للدمج</w:t>
            </w:r>
          </w:p>
        </w:tc>
        <w:tc>
          <w:tcPr/>
          <w:p>
            <w:pPr>
              <w:pStyle w:val="Compact"/>
              <w:bidi/>
              <w:jc w:val="left"/>
            </w:pPr>
            <w:r>
              <w:rPr>
                <w:rtl/>
              </w:rPr>
              <w:t xml:space="preserve">صفر</w:t>
            </w:r>
          </w:p>
        </w:tc>
        <w:tc>
          <w:tcPr/>
          <w:p>
            <w:pPr>
              <w:pStyle w:val="Compact"/>
              <w:bidi/>
              <w:jc w:val="left"/>
            </w:pPr>
            <w:r>
              <w:rPr>
                <w:rtl/>
              </w:rPr>
              <w:t xml:space="preserve">سجل البرنامج</w:t>
            </w:r>
          </w:p>
        </w:tc>
        <w:tc>
          <w:tcPr/>
          <w:p>
            <w:pPr>
              <w:pStyle w:val="Compact"/>
              <w:bidi/>
              <w:jc w:val="left"/>
            </w:pPr>
            <w:r>
              <w:rPr>
                <w:rtl/>
              </w:rPr>
              <w:t xml:space="preserve">وزارة الدفاع</w:t>
            </w:r>
          </w:p>
        </w:tc>
        <w:tc>
          <w:tcPr/>
          <w:p>
            <w:pPr>
              <w:pStyle w:val="Compact"/>
              <w:bidi/>
              <w:jc w:val="left"/>
            </w:pPr>
            <w:r>
              <w:rPr>
                <w:rtl/>
              </w:rPr>
              <w:t xml:space="preserve">شهرية</w:t>
            </w:r>
          </w:p>
        </w:tc>
      </w:tr>
      <w:tr>
        <w:tc>
          <w:tcPr/>
          <w:p>
            <w:pPr>
              <w:pStyle w:val="Compact"/>
              <w:bidi/>
              <w:jc w:val="left"/>
            </w:pPr>
            <w:r>
              <w:rPr>
                <w:b/>
                <w:bCs/>
                <w:rtl/>
              </w:rPr>
              <w:t xml:space="preserve">العودة أو الاندماج المستقر للنازحين</w:t>
            </w:r>
          </w:p>
        </w:tc>
        <w:tc>
          <w:tcPr/>
          <w:p>
            <w:pPr>
              <w:pStyle w:val="Compact"/>
              <w:bidi/>
              <w:jc w:val="left"/>
            </w:pPr>
            <w:r>
              <w:rPr>
                <w:rtl/>
              </w:rPr>
              <w:t xml:space="preserve">نسبة النازحين الذين عادوا إلى مناطقهم أو اندمجوا حيث هم،</w:t>
            </w:r>
            <w:r>
              <w:rPr>
                <w:rtl/>
              </w:rPr>
              <w:t xml:space="preserve"> </w:t>
            </w:r>
            <w:r>
              <w:rPr>
                <w:b/>
                <w:bCs/>
                <w:rtl/>
              </w:rPr>
              <w:t xml:space="preserve">واستقروا ستة أشهر على الأقل مع حصولهم على مأوى ووثائق ومصدر دخل</w:t>
            </w:r>
          </w:p>
        </w:tc>
        <w:tc>
          <w:tcPr/>
          <w:p>
            <w:pPr>
              <w:pStyle w:val="Compact"/>
              <w:bidi/>
              <w:jc w:val="left"/>
            </w:pPr>
            <w:r>
              <w:rPr>
                <w:rtl/>
              </w:rPr>
              <w:t xml:space="preserve">نحو 8.9 مليون نازح (المنظمة الدولية للهجرة، مارس 2026)</w:t>
            </w:r>
          </w:p>
        </w:tc>
        <w:tc>
          <w:tcPr/>
          <w:p>
            <w:pPr>
              <w:pStyle w:val="Compact"/>
              <w:bidi/>
              <w:jc w:val="left"/>
            </w:pPr>
            <w:r>
              <w:rPr>
                <w:rtl/>
              </w:rPr>
              <w:t xml:space="preserve">مصفوفة تتبع النزوح، ومسوح العائدين</w:t>
            </w:r>
          </w:p>
        </w:tc>
        <w:tc>
          <w:tcPr/>
          <w:p>
            <w:pPr>
              <w:pStyle w:val="Compact"/>
              <w:bidi/>
              <w:jc w:val="left"/>
            </w:pPr>
            <w:r>
              <w:rPr>
                <w:rtl/>
              </w:rPr>
              <w:t xml:space="preserve">مفوضية العون الإنساني</w:t>
            </w:r>
          </w:p>
        </w:tc>
        <w:tc>
          <w:tcPr/>
          <w:p>
            <w:pPr>
              <w:pStyle w:val="Compact"/>
              <w:bidi/>
              <w:jc w:val="left"/>
            </w:pPr>
            <w:r>
              <w:rPr>
                <w:rtl/>
              </w:rPr>
              <w:t xml:space="preserve">ربع سنوية</w:t>
            </w:r>
          </w:p>
        </w:tc>
      </w:tr>
      <w:tr>
        <w:tc>
          <w:tcPr/>
          <w:p>
            <w:pPr>
              <w:pStyle w:val="Compact"/>
              <w:bidi/>
              <w:jc w:val="left"/>
            </w:pPr>
            <w:r>
              <w:rPr>
                <w:b/>
                <w:bCs/>
                <w:rtl/>
              </w:rPr>
              <w:t xml:space="preserve">العودة الطوعية للاجئين</w:t>
            </w:r>
          </w:p>
        </w:tc>
        <w:tc>
          <w:tcPr/>
          <w:p>
            <w:pPr>
              <w:pStyle w:val="Compact"/>
              <w:bidi/>
              <w:jc w:val="left"/>
            </w:pPr>
            <w:r>
              <w:rPr>
                <w:rtl/>
              </w:rPr>
              <w:t xml:space="preserve">نسبة اللاجئين الذين عادوا طوعاً، وفق سجلات المفوضية السامية للاجئين</w:t>
            </w:r>
          </w:p>
        </w:tc>
        <w:tc>
          <w:tcPr/>
          <w:p>
            <w:pPr>
              <w:pStyle w:val="Compact"/>
              <w:bidi/>
              <w:jc w:val="left"/>
            </w:pPr>
            <w:r>
              <w:rPr>
                <w:rtl/>
              </w:rPr>
              <w:t xml:space="preserve">أكثر من 4 ملايين</w:t>
            </w:r>
          </w:p>
        </w:tc>
        <w:tc>
          <w:tcPr/>
          <w:p>
            <w:pPr>
              <w:pStyle w:val="Compact"/>
              <w:bidi/>
              <w:jc w:val="left"/>
            </w:pPr>
            <w:r>
              <w:rPr>
                <w:rtl/>
              </w:rPr>
              <w:t xml:space="preserve">المفوضية السامية للأمم المتحدة لشؤون اللاجئين</w:t>
            </w:r>
          </w:p>
        </w:tc>
        <w:tc>
          <w:tcPr/>
          <w:p>
            <w:pPr>
              <w:pStyle w:val="Compact"/>
              <w:bidi/>
              <w:jc w:val="left"/>
            </w:pPr>
            <w:r>
              <w:rPr>
                <w:rtl/>
              </w:rPr>
              <w:t xml:space="preserve">الخارجية والمهجر</w:t>
            </w:r>
          </w:p>
        </w:tc>
        <w:tc>
          <w:tcPr/>
          <w:p>
            <w:pPr>
              <w:pStyle w:val="Compact"/>
              <w:bidi/>
              <w:jc w:val="left"/>
            </w:pPr>
            <w:r>
              <w:rPr>
                <w:rtl/>
              </w:rPr>
              <w:t xml:space="preserve">نصف سنوية</w:t>
            </w:r>
          </w:p>
        </w:tc>
      </w:tr>
      <w:tr>
        <w:tc>
          <w:tcPr/>
          <w:p>
            <w:pPr>
              <w:pStyle w:val="Compact"/>
              <w:bidi/>
              <w:jc w:val="left"/>
            </w:pPr>
            <w:r>
              <w:rPr>
                <w:b/>
                <w:bCs/>
                <w:rtl/>
              </w:rPr>
              <w:t xml:space="preserve">القرب من مرفق صحي عامل</w:t>
            </w:r>
          </w:p>
        </w:tc>
        <w:tc>
          <w:tcPr/>
          <w:p>
            <w:pPr>
              <w:pStyle w:val="Compact"/>
              <w:bidi/>
              <w:jc w:val="left"/>
            </w:pPr>
            <w:r>
              <w:rPr>
                <w:rtl/>
              </w:rPr>
              <w:t xml:space="preserve">نسبة السكان الذين يعيشون على بعد 20 كم أو أقل من مرفق صحي يقدم الرعاية الأولية فعلياً</w:t>
            </w:r>
          </w:p>
        </w:tc>
        <w:tc>
          <w:tcPr/>
          <w:p>
            <w:pPr>
              <w:pStyle w:val="Compact"/>
              <w:bidi/>
              <w:jc w:val="left"/>
            </w:pPr>
            <w:r>
              <w:rPr>
                <w:rtl/>
              </w:rPr>
              <w:t xml:space="preserve">يُحدَّد في المسح الأولي</w:t>
            </w:r>
          </w:p>
        </w:tc>
        <w:tc>
          <w:tcPr/>
          <w:p>
            <w:pPr>
              <w:pStyle w:val="Compact"/>
              <w:bidi/>
              <w:jc w:val="left"/>
            </w:pPr>
            <w:r>
              <w:rPr>
                <w:rtl/>
              </w:rPr>
              <w:t xml:space="preserve">خريطة المرافق الصحية والتعداد</w:t>
            </w:r>
          </w:p>
        </w:tc>
        <w:tc>
          <w:tcPr/>
          <w:p>
            <w:pPr>
              <w:pStyle w:val="Compact"/>
              <w:bidi/>
              <w:jc w:val="left"/>
            </w:pPr>
            <w:r>
              <w:rPr>
                <w:rtl/>
              </w:rPr>
              <w:t xml:space="preserve">وزارة الصحة</w:t>
            </w:r>
          </w:p>
        </w:tc>
        <w:tc>
          <w:tcPr/>
          <w:p>
            <w:pPr>
              <w:pStyle w:val="Compact"/>
              <w:bidi/>
              <w:jc w:val="left"/>
            </w:pPr>
            <w:r>
              <w:rPr>
                <w:rtl/>
              </w:rPr>
              <w:t xml:space="preserve">سنوية</w:t>
            </w:r>
          </w:p>
        </w:tc>
      </w:tr>
      <w:tr>
        <w:tc>
          <w:tcPr/>
          <w:p>
            <w:pPr>
              <w:pStyle w:val="Compact"/>
              <w:bidi/>
              <w:jc w:val="left"/>
            </w:pPr>
            <w:r>
              <w:rPr>
                <w:b/>
                <w:bCs/>
                <w:rtl/>
              </w:rPr>
              <w:t xml:space="preserve">الوصول إلى مياه آمنة</w:t>
            </w:r>
          </w:p>
        </w:tc>
        <w:tc>
          <w:tcPr/>
          <w:p>
            <w:pPr>
              <w:pStyle w:val="Compact"/>
              <w:bidi/>
              <w:jc w:val="left"/>
            </w:pPr>
            <w:r>
              <w:rPr>
                <w:rtl/>
              </w:rPr>
              <w:t xml:space="preserve">نسبة الأسر التي تحصل على مياه شرب من مصدر محسّن على بعد 30 دقيقة ذهاباً وإياباً</w:t>
            </w:r>
          </w:p>
        </w:tc>
        <w:tc>
          <w:tcPr/>
          <w:p>
            <w:pPr>
              <w:pStyle w:val="Compact"/>
              <w:bidi/>
              <w:jc w:val="left"/>
            </w:pPr>
            <w:r>
              <w:rPr>
                <w:rtl/>
              </w:rPr>
              <w:t xml:space="preserve">يُحدَّد في المسح الأولي</w:t>
            </w:r>
          </w:p>
        </w:tc>
        <w:tc>
          <w:tcPr/>
          <w:p>
            <w:pPr>
              <w:pStyle w:val="Compact"/>
              <w:bidi/>
              <w:jc w:val="left"/>
            </w:pPr>
            <w:r>
              <w:rPr>
                <w:rtl/>
              </w:rPr>
              <w:t xml:space="preserve">مسوح الأسر</w:t>
            </w:r>
          </w:p>
        </w:tc>
        <w:tc>
          <w:tcPr/>
          <w:p>
            <w:pPr>
              <w:pStyle w:val="Compact"/>
              <w:bidi/>
              <w:jc w:val="left"/>
            </w:pPr>
            <w:r>
              <w:rPr>
                <w:rtl/>
              </w:rPr>
              <w:t xml:space="preserve">وزارة الزراعة والمياه، الجهاز المركزي للإحصاء</w:t>
            </w:r>
          </w:p>
        </w:tc>
        <w:tc>
          <w:tcPr/>
          <w:p>
            <w:pPr>
              <w:pStyle w:val="Compact"/>
              <w:bidi/>
              <w:jc w:val="left"/>
            </w:pPr>
            <w:r>
              <w:rPr>
                <w:rtl/>
              </w:rPr>
              <w:t xml:space="preserve">سنوية</w:t>
            </w:r>
          </w:p>
        </w:tc>
      </w:tr>
      <w:tr>
        <w:tc>
          <w:tcPr/>
          <w:p>
            <w:pPr>
              <w:pStyle w:val="Compact"/>
              <w:bidi/>
              <w:jc w:val="left"/>
            </w:pPr>
            <w:r>
              <w:rPr>
                <w:b/>
                <w:bCs/>
                <w:rtl/>
              </w:rPr>
              <w:t xml:space="preserve">الأطفال خارج المدرسة</w:t>
            </w:r>
          </w:p>
        </w:tc>
        <w:tc>
          <w:tcPr/>
          <w:p>
            <w:pPr>
              <w:pStyle w:val="Compact"/>
              <w:bidi/>
              <w:jc w:val="left"/>
            </w:pPr>
            <w:r>
              <w:rPr>
                <w:rtl/>
              </w:rPr>
              <w:t xml:space="preserve">عدد الأطفال في سن التعليم الأساسي غير الملتحقين بأي مدرسة</w:t>
            </w:r>
          </w:p>
        </w:tc>
        <w:tc>
          <w:tcPr/>
          <w:p>
            <w:pPr>
              <w:pStyle w:val="Compact"/>
              <w:bidi/>
              <w:jc w:val="left"/>
            </w:pPr>
            <w:r>
              <w:rPr>
                <w:rtl/>
              </w:rPr>
              <w:t xml:space="preserve">يُحدَّد في المسح الأولي (تقديرات الأمم المتحدة مرتفعة جداً)</w:t>
            </w:r>
          </w:p>
        </w:tc>
        <w:tc>
          <w:tcPr/>
          <w:p>
            <w:pPr>
              <w:pStyle w:val="Compact"/>
              <w:bidi/>
              <w:jc w:val="left"/>
            </w:pPr>
            <w:r>
              <w:rPr>
                <w:rtl/>
              </w:rPr>
              <w:t xml:space="preserve">سجلات المدارس، ومسوح الأسر</w:t>
            </w:r>
          </w:p>
        </w:tc>
        <w:tc>
          <w:tcPr/>
          <w:p>
            <w:pPr>
              <w:pStyle w:val="Compact"/>
              <w:bidi/>
              <w:jc w:val="left"/>
            </w:pPr>
            <w:r>
              <w:rPr>
                <w:rtl/>
              </w:rPr>
              <w:t xml:space="preserve">وزارة التعليم</w:t>
            </w:r>
          </w:p>
        </w:tc>
        <w:tc>
          <w:tcPr/>
          <w:p>
            <w:pPr>
              <w:pStyle w:val="Compact"/>
              <w:bidi/>
              <w:jc w:val="left"/>
            </w:pPr>
            <w:r>
              <w:rPr>
                <w:rtl/>
              </w:rPr>
              <w:t xml:space="preserve">سنوية</w:t>
            </w:r>
          </w:p>
        </w:tc>
      </w:tr>
      <w:tr>
        <w:tc>
          <w:tcPr/>
          <w:p>
            <w:pPr>
              <w:pStyle w:val="Compact"/>
              <w:bidi/>
              <w:jc w:val="left"/>
            </w:pPr>
            <w:r>
              <w:rPr>
                <w:b/>
                <w:bCs/>
                <w:rtl/>
              </w:rPr>
              <w:t xml:space="preserve">الإيرادات العامة من الناتج</w:t>
            </w:r>
          </w:p>
        </w:tc>
        <w:tc>
          <w:tcPr/>
          <w:p>
            <w:pPr>
              <w:pStyle w:val="Compact"/>
              <w:bidi/>
              <w:jc w:val="left"/>
            </w:pPr>
            <w:r>
              <w:rPr>
                <w:rtl/>
              </w:rPr>
              <w:t xml:space="preserve">إيرادات الحكومة العامة مقسومة على الناتج الاسمي</w:t>
            </w:r>
          </w:p>
        </w:tc>
        <w:tc>
          <w:tcPr/>
          <w:p>
            <w:pPr>
              <w:pStyle w:val="Compact"/>
              <w:bidi/>
              <w:jc w:val="left"/>
            </w:pPr>
            <w:r>
              <w:rPr>
                <w:rtl/>
              </w:rPr>
              <w:t xml:space="preserve">4.2% (البنك الدولي، 2025)</w:t>
            </w:r>
          </w:p>
        </w:tc>
        <w:tc>
          <w:tcPr/>
          <w:p>
            <w:pPr>
              <w:pStyle w:val="Compact"/>
              <w:bidi/>
              <w:jc w:val="left"/>
            </w:pPr>
            <w:r>
              <w:rPr>
                <w:rtl/>
              </w:rPr>
              <w:t xml:space="preserve">الحسابات الختامية</w:t>
            </w:r>
          </w:p>
        </w:tc>
        <w:tc>
          <w:tcPr/>
          <w:p>
            <w:pPr>
              <w:pStyle w:val="Compact"/>
              <w:bidi/>
              <w:jc w:val="left"/>
            </w:pPr>
            <w:r>
              <w:rPr>
                <w:rtl/>
              </w:rPr>
              <w:t xml:space="preserve">وزارة المالية، ويتحقق المراجع العام</w:t>
            </w:r>
          </w:p>
        </w:tc>
        <w:tc>
          <w:tcPr/>
          <w:p>
            <w:pPr>
              <w:pStyle w:val="Compact"/>
              <w:bidi/>
              <w:jc w:val="left"/>
            </w:pPr>
            <w:r>
              <w:rPr>
                <w:rtl/>
              </w:rPr>
              <w:t xml:space="preserve">سنوية</w:t>
            </w:r>
          </w:p>
        </w:tc>
      </w:tr>
      <w:tr>
        <w:tc>
          <w:tcPr/>
          <w:p>
            <w:pPr>
              <w:pStyle w:val="Compact"/>
              <w:bidi/>
              <w:jc w:val="left"/>
            </w:pPr>
            <w:r>
              <w:rPr>
                <w:b/>
                <w:bCs/>
                <w:rtl/>
              </w:rPr>
              <w:t xml:space="preserve">التضخم</w:t>
            </w:r>
          </w:p>
        </w:tc>
        <w:tc>
          <w:tcPr/>
          <w:p>
            <w:pPr>
              <w:pStyle w:val="Compact"/>
              <w:bidi/>
              <w:jc w:val="left"/>
            </w:pPr>
            <w:r>
              <w:rPr>
                <w:rtl/>
              </w:rPr>
              <w:t xml:space="preserve">التغير السنوي في الرقم القياسي لأسعار المستهلك</w:t>
            </w:r>
          </w:p>
        </w:tc>
        <w:tc>
          <w:tcPr/>
          <w:p>
            <w:pPr>
              <w:pStyle w:val="Compact"/>
              <w:bidi/>
              <w:jc w:val="left"/>
            </w:pPr>
            <w:r>
              <w:rPr>
                <w:rtl/>
              </w:rPr>
              <w:t xml:space="preserve">111.5% (متوسط 2025)</w:t>
            </w:r>
          </w:p>
        </w:tc>
        <w:tc>
          <w:tcPr/>
          <w:p>
            <w:pPr>
              <w:pStyle w:val="Compact"/>
              <w:bidi/>
              <w:jc w:val="left"/>
            </w:pPr>
            <w:r>
              <w:rPr>
                <w:rtl/>
              </w:rPr>
              <w:t xml:space="preserve">الجهاز المركزي للإحصاء</w:t>
            </w:r>
          </w:p>
        </w:tc>
        <w:tc>
          <w:tcPr/>
          <w:p>
            <w:pPr>
              <w:pStyle w:val="Compact"/>
              <w:bidi/>
              <w:jc w:val="left"/>
            </w:pPr>
            <w:r>
              <w:rPr>
                <w:rtl/>
              </w:rPr>
              <w:t xml:space="preserve">الجهاز المركزي للإحصاء</w:t>
            </w:r>
          </w:p>
        </w:tc>
        <w:tc>
          <w:tcPr/>
          <w:p>
            <w:pPr>
              <w:pStyle w:val="Compact"/>
              <w:bidi/>
              <w:jc w:val="left"/>
            </w:pPr>
            <w:r>
              <w:rPr>
                <w:rtl/>
              </w:rPr>
              <w:t xml:space="preserve">شهرية</w:t>
            </w:r>
          </w:p>
        </w:tc>
      </w:tr>
      <w:tr>
        <w:tc>
          <w:tcPr/>
          <w:p>
            <w:pPr>
              <w:pStyle w:val="Compact"/>
              <w:bidi/>
              <w:jc w:val="left"/>
            </w:pPr>
            <w:r>
              <w:rPr>
                <w:b/>
                <w:bCs/>
                <w:rtl/>
              </w:rPr>
              <w:t xml:space="preserve">الذهب في القنوات الرسمية</w:t>
            </w:r>
          </w:p>
        </w:tc>
        <w:tc>
          <w:tcPr/>
          <w:p>
            <w:pPr>
              <w:pStyle w:val="Compact"/>
              <w:bidi/>
              <w:jc w:val="left"/>
            </w:pPr>
            <w:r>
              <w:rPr>
                <w:rtl/>
              </w:rPr>
              <w:t xml:space="preserve">الكمية المشتراة أو المصدرة رسمياً مقسومة على الإنتاج المقدر</w:t>
            </w:r>
          </w:p>
        </w:tc>
        <w:tc>
          <w:tcPr/>
          <w:p>
            <w:pPr>
              <w:pStyle w:val="Compact"/>
              <w:bidi/>
              <w:jc w:val="left"/>
            </w:pPr>
            <w:r>
              <w:rPr>
                <w:rtl/>
              </w:rPr>
              <w:t xml:space="preserve">يُحدَّد في السنة الأولى</w:t>
            </w:r>
          </w:p>
        </w:tc>
        <w:tc>
          <w:tcPr/>
          <w:p>
            <w:pPr>
              <w:pStyle w:val="Compact"/>
              <w:bidi/>
              <w:jc w:val="left"/>
            </w:pPr>
            <w:r>
              <w:rPr>
                <w:rtl/>
              </w:rPr>
              <w:t xml:space="preserve">البنك المركزي، وتقديرات الإنتاج</w:t>
            </w:r>
          </w:p>
        </w:tc>
        <w:tc>
          <w:tcPr/>
          <w:p>
            <w:pPr>
              <w:pStyle w:val="Compact"/>
              <w:bidi/>
              <w:jc w:val="left"/>
            </w:pPr>
            <w:r>
              <w:rPr>
                <w:rtl/>
              </w:rPr>
              <w:t xml:space="preserve">وزارة الطاقة والتعدين</w:t>
            </w:r>
          </w:p>
        </w:tc>
        <w:tc>
          <w:tcPr/>
          <w:p>
            <w:pPr>
              <w:pStyle w:val="Compact"/>
              <w:bidi/>
              <w:jc w:val="left"/>
            </w:pPr>
            <w:r>
              <w:rPr>
                <w:rtl/>
              </w:rPr>
              <w:t xml:space="preserve">ربع سنوية</w:t>
            </w:r>
          </w:p>
        </w:tc>
      </w:tr>
      <w:tr>
        <w:tc>
          <w:tcPr/>
          <w:p>
            <w:pPr>
              <w:pStyle w:val="Compact"/>
              <w:bidi/>
              <w:jc w:val="left"/>
            </w:pPr>
            <w:r>
              <w:rPr>
                <w:b/>
                <w:bCs/>
                <w:rtl/>
              </w:rPr>
              <w:t xml:space="preserve">الخدمات الحكومية الرقمية</w:t>
            </w:r>
          </w:p>
        </w:tc>
        <w:tc>
          <w:tcPr/>
          <w:p>
            <w:pPr>
              <w:pStyle w:val="Compact"/>
              <w:bidi/>
              <w:jc w:val="left"/>
            </w:pPr>
            <w:r>
              <w:rPr>
                <w:rtl/>
              </w:rPr>
              <w:t xml:space="preserve">نسبة الخدمات الحكومية المحددة في قائمة معلنة التي يمكن إنجازها إلكترونياً بالكامل</w:t>
            </w:r>
          </w:p>
        </w:tc>
        <w:tc>
          <w:tcPr/>
          <w:p>
            <w:pPr>
              <w:pStyle w:val="Compact"/>
              <w:bidi/>
              <w:jc w:val="left"/>
            </w:pPr>
            <w:r>
              <w:rPr>
                <w:rtl/>
              </w:rPr>
              <w:t xml:space="preserve">شبه معدومة</w:t>
            </w:r>
          </w:p>
        </w:tc>
        <w:tc>
          <w:tcPr/>
          <w:p>
            <w:pPr>
              <w:pStyle w:val="Compact"/>
              <w:bidi/>
              <w:jc w:val="left"/>
            </w:pPr>
            <w:r>
              <w:rPr>
                <w:rtl/>
              </w:rPr>
              <w:t xml:space="preserve">البوابة الحكومية</w:t>
            </w:r>
          </w:p>
        </w:tc>
        <w:tc>
          <w:tcPr/>
          <w:p>
            <w:pPr>
              <w:pStyle w:val="Compact"/>
              <w:bidi/>
              <w:jc w:val="left"/>
            </w:pPr>
            <w:r>
              <w:rPr>
                <w:rtl/>
              </w:rPr>
              <w:t xml:space="preserve">رئاسة الوزراء</w:t>
            </w:r>
          </w:p>
        </w:tc>
        <w:tc>
          <w:tcPr/>
          <w:p>
            <w:pPr>
              <w:pStyle w:val="Compact"/>
              <w:bidi/>
              <w:jc w:val="left"/>
            </w:pPr>
            <w:r>
              <w:rPr>
                <w:rtl/>
              </w:rPr>
              <w:t xml:space="preserve">ربع سنوية</w:t>
            </w:r>
          </w:p>
        </w:tc>
      </w:tr>
      <w:tr>
        <w:tc>
          <w:tcPr/>
          <w:p>
            <w:pPr>
              <w:pStyle w:val="Compact"/>
              <w:bidi/>
              <w:jc w:val="left"/>
            </w:pPr>
            <w:r>
              <w:rPr>
                <w:b/>
                <w:bCs/>
                <w:rtl/>
              </w:rPr>
              <w:t xml:space="preserve">التعيينات بمسابقات معلنة</w:t>
            </w:r>
          </w:p>
        </w:tc>
        <w:tc>
          <w:tcPr/>
          <w:p>
            <w:pPr>
              <w:pStyle w:val="Compact"/>
              <w:bidi/>
              <w:jc w:val="left"/>
            </w:pPr>
            <w:r>
              <w:rPr>
                <w:rtl/>
              </w:rPr>
              <w:t xml:space="preserve">نسبة التعيينات في الوظائف القيادية التي تمت عبر مسابقة معلنة</w:t>
            </w:r>
          </w:p>
        </w:tc>
        <w:tc>
          <w:tcPr/>
          <w:p>
            <w:pPr>
              <w:pStyle w:val="Compact"/>
              <w:bidi/>
              <w:jc w:val="left"/>
            </w:pPr>
            <w:r>
              <w:rPr>
                <w:rtl/>
              </w:rPr>
              <w:t xml:space="preserve">شبه معدومة</w:t>
            </w:r>
          </w:p>
        </w:tc>
        <w:tc>
          <w:tcPr/>
          <w:p>
            <w:pPr>
              <w:pStyle w:val="Compact"/>
              <w:bidi/>
              <w:jc w:val="left"/>
            </w:pPr>
            <w:r>
              <w:rPr>
                <w:rtl/>
              </w:rPr>
              <w:t xml:space="preserve">سجلات الخدمة المدنية</w:t>
            </w:r>
          </w:p>
        </w:tc>
        <w:tc>
          <w:tcPr/>
          <w:p>
            <w:pPr>
              <w:pStyle w:val="Compact"/>
              <w:bidi/>
              <w:jc w:val="left"/>
            </w:pPr>
            <w:r>
              <w:rPr>
                <w:rtl/>
              </w:rPr>
              <w:t xml:space="preserve">وزارة الإصلاح المؤسسي</w:t>
            </w:r>
          </w:p>
        </w:tc>
        <w:tc>
          <w:tcPr/>
          <w:p>
            <w:pPr>
              <w:pStyle w:val="Compact"/>
              <w:bidi/>
              <w:jc w:val="left"/>
            </w:pPr>
            <w:r>
              <w:rPr>
                <w:rtl/>
              </w:rPr>
              <w:t xml:space="preserve">نصف سنوية</w:t>
            </w:r>
          </w:p>
        </w:tc>
      </w:tr>
      <w:tr>
        <w:tc>
          <w:tcPr/>
          <w:p>
            <w:pPr>
              <w:pStyle w:val="Compact"/>
              <w:bidi/>
              <w:jc w:val="left"/>
            </w:pPr>
            <w:r>
              <w:rPr>
                <w:b/>
                <w:bCs/>
                <w:rtl/>
              </w:rPr>
              <w:t xml:space="preserve">الأسر المشمولة بالحماية الاجتماعية</w:t>
            </w:r>
          </w:p>
        </w:tc>
        <w:tc>
          <w:tcPr/>
          <w:p>
            <w:pPr>
              <w:pStyle w:val="Compact"/>
              <w:bidi/>
              <w:jc w:val="left"/>
            </w:pPr>
            <w:r>
              <w:rPr>
                <w:rtl/>
              </w:rPr>
              <w:t xml:space="preserve">نسبة الأسر المستحقة وفق المعايير المعلنة التي تتلقى تحويلات منتظمة</w:t>
            </w:r>
          </w:p>
        </w:tc>
        <w:tc>
          <w:tcPr/>
          <w:p>
            <w:pPr>
              <w:pStyle w:val="Compact"/>
              <w:bidi/>
              <w:jc w:val="left"/>
            </w:pPr>
            <w:r>
              <w:rPr>
                <w:rtl/>
              </w:rPr>
              <w:t xml:space="preserve">يُحدَّد بعد التسجيل</w:t>
            </w:r>
          </w:p>
        </w:tc>
        <w:tc>
          <w:tcPr/>
          <w:p>
            <w:pPr>
              <w:pStyle w:val="Compact"/>
              <w:bidi/>
              <w:jc w:val="left"/>
            </w:pPr>
            <w:r>
              <w:rPr>
                <w:rtl/>
              </w:rPr>
              <w:t xml:space="preserve">سجل البرنامج</w:t>
            </w:r>
          </w:p>
        </w:tc>
        <w:tc>
          <w:tcPr/>
          <w:p>
            <w:pPr>
              <w:pStyle w:val="Compact"/>
              <w:bidi/>
              <w:jc w:val="left"/>
            </w:pPr>
            <w:r>
              <w:rPr>
                <w:rtl/>
              </w:rPr>
              <w:t xml:space="preserve">وزارة الصحة والتنمية الاجتماعية</w:t>
            </w:r>
          </w:p>
        </w:tc>
        <w:tc>
          <w:tcPr/>
          <w:p>
            <w:pPr>
              <w:pStyle w:val="Compact"/>
              <w:bidi/>
              <w:jc w:val="left"/>
            </w:pPr>
            <w:r>
              <w:rPr>
                <w:rtl/>
              </w:rPr>
              <w:t xml:space="preserve">ربع سنوية</w:t>
            </w:r>
          </w:p>
        </w:tc>
      </w:tr>
      <w:tr>
        <w:tc>
          <w:tcPr/>
          <w:p>
            <w:pPr>
              <w:pStyle w:val="Compact"/>
              <w:bidi/>
              <w:jc w:val="left"/>
            </w:pPr>
            <w:r>
              <w:rPr>
                <w:b/>
                <w:bCs/>
                <w:rtl/>
              </w:rPr>
              <w:t xml:space="preserve">انتظام الرواتب</w:t>
            </w:r>
          </w:p>
        </w:tc>
        <w:tc>
          <w:tcPr/>
          <w:p>
            <w:pPr>
              <w:pStyle w:val="Compact"/>
              <w:bidi/>
              <w:jc w:val="left"/>
            </w:pPr>
            <w:r>
              <w:rPr>
                <w:rtl/>
              </w:rPr>
              <w:t xml:space="preserve">نسبة الأشهر التي دُفعت فيها رواتب الخدمة المدنية كاملة في موعدها</w:t>
            </w:r>
          </w:p>
        </w:tc>
        <w:tc>
          <w:tcPr/>
          <w:p>
            <w:pPr>
              <w:pStyle w:val="Compact"/>
              <w:bidi/>
              <w:jc w:val="left"/>
            </w:pPr>
            <w:r>
              <w:rPr>
                <w:rtl/>
              </w:rPr>
              <w:t xml:space="preserve">يُحدَّد في الشهر الأول</w:t>
            </w:r>
          </w:p>
        </w:tc>
        <w:tc>
          <w:tcPr/>
          <w:p>
            <w:pPr>
              <w:pStyle w:val="Compact"/>
              <w:bidi/>
              <w:jc w:val="left"/>
            </w:pPr>
            <w:r>
              <w:rPr>
                <w:rtl/>
              </w:rPr>
              <w:t xml:space="preserve">وزارة المالية</w:t>
            </w:r>
          </w:p>
        </w:tc>
        <w:tc>
          <w:tcPr/>
          <w:p>
            <w:pPr>
              <w:pStyle w:val="Compact"/>
              <w:bidi/>
              <w:jc w:val="left"/>
            </w:pPr>
            <w:r>
              <w:rPr>
                <w:rtl/>
              </w:rPr>
              <w:t xml:space="preserve">وزارة المالية</w:t>
            </w:r>
          </w:p>
        </w:tc>
        <w:tc>
          <w:tcPr/>
          <w:p>
            <w:pPr>
              <w:pStyle w:val="Compact"/>
              <w:bidi/>
              <w:jc w:val="left"/>
            </w:pPr>
            <w:r>
              <w:rPr>
                <w:rtl/>
              </w:rPr>
              <w:t xml:space="preserve">شهرية</w:t>
            </w:r>
          </w:p>
        </w:tc>
      </w:tr>
    </w:tbl>
    <w:p>
      <w:pPr>
        <w:bidi/>
      </w:pPr>
      <w:r>
        <w:rPr>
          <w:rtl/>
        </w:rPr>
        <w:br w:type="page"/>
      </w:r>
    </w:p>
    <w:bookmarkEnd w:id="44"/>
    <w:bookmarkStart w:id="48" w:name="الملحق-الرابع-الهيكل-المؤسسي"/>
    <w:p>
      <w:pPr>
        <w:pStyle w:val="Heading1"/>
        <w:bidi/>
      </w:pPr>
      <w:r>
        <w:rPr>
          <w:rtl/>
        </w:rPr>
        <w:t xml:space="preserve">الملحق الرابع: الهيكل المؤسسي</w:t>
      </w:r>
    </w:p>
    <w:bookmarkStart w:id="45" w:name="الهيئات-تحت-الوزارات-الكبيرة"/>
    <w:p>
      <w:pPr>
        <w:pStyle w:val="Heading2"/>
        <w:bidi/>
      </w:pPr>
      <w:r>
        <w:rPr>
          <w:rtl/>
        </w:rPr>
        <w:t xml:space="preserve">الهيئات تحت الوزارات الكبيرة</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الوزارة</w:t>
            </w:r>
          </w:p>
        </w:tc>
        <w:tc>
          <w:tcPr/>
          <w:p>
            <w:pPr>
              <w:pStyle w:val="Compact"/>
              <w:bidi/>
              <w:jc w:val="left"/>
            </w:pPr>
            <w:r>
              <w:rPr>
                <w:rtl/>
              </w:rPr>
              <w:t xml:space="preserve">الهيئات والوكالات المقترحة</w:t>
            </w:r>
          </w:p>
        </w:tc>
      </w:tr>
      <w:tr>
        <w:tc>
          <w:tcPr/>
          <w:p>
            <w:pPr>
              <w:pStyle w:val="Compact"/>
              <w:bidi/>
              <w:jc w:val="left"/>
            </w:pPr>
            <w:r>
              <w:rPr>
                <w:b/>
                <w:bCs/>
                <w:rtl/>
              </w:rPr>
              <w:t xml:space="preserve">الاقتصاد والاستثمار وممتلكات الدولة</w:t>
            </w:r>
          </w:p>
        </w:tc>
        <w:tc>
          <w:tcPr/>
          <w:p>
            <w:pPr>
              <w:pStyle w:val="Compact"/>
              <w:bidi/>
              <w:jc w:val="left"/>
            </w:pPr>
            <w:r>
              <w:rPr>
                <w:rtl/>
              </w:rPr>
              <w:t xml:space="preserve">هيئة الاستثمار؛ هيئة إدارة ممتلكات الدولة (لاستلام شركات الأجهزة النظامية وإدارتها وبيعها)؛ هيئة التجارة الخارجية</w:t>
            </w:r>
          </w:p>
        </w:tc>
      </w:tr>
      <w:tr>
        <w:tc>
          <w:tcPr/>
          <w:p>
            <w:pPr>
              <w:pStyle w:val="Compact"/>
              <w:bidi/>
              <w:jc w:val="left"/>
            </w:pPr>
            <w:r>
              <w:rPr>
                <w:b/>
                <w:bCs/>
                <w:rtl/>
              </w:rPr>
              <w:t xml:space="preserve">الطاقة والصناعة والتعدين</w:t>
            </w:r>
          </w:p>
        </w:tc>
        <w:tc>
          <w:tcPr/>
          <w:p>
            <w:pPr>
              <w:pStyle w:val="Compact"/>
              <w:bidi/>
              <w:jc w:val="left"/>
            </w:pPr>
            <w:r>
              <w:rPr>
                <w:rtl/>
              </w:rPr>
              <w:t xml:space="preserve">هيئة الكهرباء والطاقة المتجددة؛ الهيئة العامة للأبحاث الجيولوجية؛ هيئة تنظيم التعدين الأهلي والذهب؛ هيئة التنمية الصناعية</w:t>
            </w:r>
          </w:p>
        </w:tc>
      </w:tr>
      <w:tr>
        <w:tc>
          <w:tcPr/>
          <w:p>
            <w:pPr>
              <w:pStyle w:val="Compact"/>
              <w:bidi/>
              <w:jc w:val="left"/>
            </w:pPr>
            <w:r>
              <w:rPr>
                <w:b/>
                <w:bCs/>
                <w:rtl/>
              </w:rPr>
              <w:t xml:space="preserve">الزراعة والثروة الحيوانية والمياه</w:t>
            </w:r>
          </w:p>
        </w:tc>
        <w:tc>
          <w:tcPr/>
          <w:p>
            <w:pPr>
              <w:pStyle w:val="Compact"/>
              <w:bidi/>
              <w:jc w:val="left"/>
            </w:pPr>
            <w:r>
              <w:rPr>
                <w:rtl/>
              </w:rPr>
              <w:t xml:space="preserve">هيئة المشاريع المروية؛ هيئة الثروة الحيوانية والمراعي؛ هيئة مياه الشرب؛ هيئة المخزون الاستراتيجي</w:t>
            </w:r>
          </w:p>
        </w:tc>
      </w:tr>
      <w:tr>
        <w:tc>
          <w:tcPr/>
          <w:p>
            <w:pPr>
              <w:pStyle w:val="Compact"/>
              <w:bidi/>
              <w:jc w:val="left"/>
            </w:pPr>
            <w:r>
              <w:rPr>
                <w:b/>
                <w:bCs/>
                <w:rtl/>
              </w:rPr>
              <w:t xml:space="preserve">البنية التحتية والإسكان والإعمار</w:t>
            </w:r>
          </w:p>
        </w:tc>
        <w:tc>
          <w:tcPr/>
          <w:p>
            <w:pPr>
              <w:pStyle w:val="Compact"/>
              <w:bidi/>
              <w:jc w:val="left"/>
            </w:pPr>
            <w:r>
              <w:rPr>
                <w:rtl/>
              </w:rPr>
              <w:t xml:space="preserve">هيئة الطرق والجسور؛ صندوق الإسكان؛ وحدة تنسيق مع مفوضية إعادة الإعمار</w:t>
            </w:r>
          </w:p>
        </w:tc>
      </w:tr>
      <w:tr>
        <w:tc>
          <w:tcPr/>
          <w:p>
            <w:pPr>
              <w:pStyle w:val="Compact"/>
              <w:bidi/>
              <w:jc w:val="left"/>
            </w:pPr>
            <w:r>
              <w:rPr>
                <w:b/>
                <w:bCs/>
                <w:rtl/>
              </w:rPr>
              <w:t xml:space="preserve">الصحة والتنمية الاجتماعية</w:t>
            </w:r>
          </w:p>
        </w:tc>
        <w:tc>
          <w:tcPr/>
          <w:p>
            <w:pPr>
              <w:pStyle w:val="Compact"/>
              <w:bidi/>
              <w:jc w:val="left"/>
            </w:pPr>
            <w:r>
              <w:rPr>
                <w:rtl/>
              </w:rPr>
              <w:t xml:space="preserve">الإمدادات الطبية؛ وكالة الحماية الاجتماعية؛ برنامج الصحة النفسية</w:t>
            </w:r>
          </w:p>
        </w:tc>
      </w:tr>
    </w:tbl>
    <w:bookmarkEnd w:id="45"/>
    <w:bookmarkStart w:id="46" w:name="المستويات"/>
    <w:p>
      <w:pPr>
        <w:pStyle w:val="Heading2"/>
        <w:bidi/>
      </w:pPr>
      <w:r>
        <w:rPr>
          <w:rtl/>
        </w:rPr>
        <w:t xml:space="preserve">المستويات</w:t>
      </w:r>
    </w:p>
    <w:p>
      <w:pPr>
        <w:pStyle w:val="Compact"/>
        <w:numPr>
          <w:ilvl w:val="0"/>
          <w:numId w:val="1007"/>
        </w:numPr>
        <w:bidi/>
      </w:pPr>
      <w:r>
        <w:rPr>
          <w:b/>
          <w:bCs/>
          <w:rtl/>
        </w:rPr>
        <w:t xml:space="preserve">المستوى الاتحادي:</w:t>
      </w:r>
      <w:r>
        <w:rPr>
          <w:rtl/>
        </w:rPr>
        <w:t xml:space="preserve"> </w:t>
      </w:r>
      <w:r>
        <w:rPr>
          <w:rtl/>
        </w:rPr>
        <w:t xml:space="preserve">مجلس الوزراء، والوزارات والهيئات، والمفوضيات القومية المستقلة، والمكتب المركزي لمكافحة الفساد.</w:t>
      </w:r>
    </w:p>
    <w:p>
      <w:pPr>
        <w:pStyle w:val="Compact"/>
        <w:numPr>
          <w:ilvl w:val="0"/>
          <w:numId w:val="1007"/>
        </w:numPr>
        <w:bidi/>
      </w:pPr>
      <w:r>
        <w:rPr>
          <w:b/>
          <w:bCs/>
          <w:rtl/>
        </w:rPr>
        <w:t xml:space="preserve">المستوى الإقليمي:</w:t>
      </w:r>
      <w:r>
        <w:rPr>
          <w:rtl/>
        </w:rPr>
        <w:t xml:space="preserve"> </w:t>
      </w:r>
      <w:r>
        <w:rPr>
          <w:rtl/>
        </w:rPr>
        <w:t xml:space="preserve">تسعة أقاليم، لكل منها حاكم وحكومة من خمس وزارات وأمين عام من الخدمة المدنية، ولجنة رقابة من أعضاء الجمعية التأسيسية المنتمين إليه.</w:t>
      </w:r>
    </w:p>
    <w:p>
      <w:pPr>
        <w:pStyle w:val="Compact"/>
        <w:numPr>
          <w:ilvl w:val="0"/>
          <w:numId w:val="1007"/>
        </w:numPr>
        <w:bidi/>
      </w:pPr>
      <w:r>
        <w:rPr>
          <w:b/>
          <w:bCs/>
          <w:rtl/>
        </w:rPr>
        <w:t xml:space="preserve">المستوى المحلي:</w:t>
      </w:r>
      <w:r>
        <w:rPr>
          <w:rtl/>
        </w:rPr>
        <w:t xml:space="preserve"> </w:t>
      </w:r>
      <w:r>
        <w:rPr>
          <w:rtl/>
        </w:rPr>
        <w:t xml:space="preserve">المحليات، بمديرين تنفيذيين مسؤولين أمام حكومة الإقليم.</w:t>
      </w:r>
    </w:p>
    <w:bookmarkEnd w:id="46"/>
    <w:bookmarkStart w:id="47" w:name="الحكم-الإقليمي-الانتقالي"/>
    <w:p>
      <w:pPr>
        <w:pStyle w:val="Heading2"/>
        <w:bidi/>
      </w:pPr>
      <w:r>
        <w:rPr>
          <w:rtl/>
        </w:rPr>
        <w:t xml:space="preserve">الحكم الإقليمي الانتقالي</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الخطوة</w:t>
            </w:r>
          </w:p>
        </w:tc>
        <w:tc>
          <w:tcPr/>
          <w:p>
            <w:pPr>
              <w:pStyle w:val="Compact"/>
              <w:bidi/>
              <w:jc w:val="left"/>
            </w:pPr>
            <w:r>
              <w:rPr>
                <w:rtl/>
              </w:rPr>
              <w:t xml:space="preserve">الموعد</w:t>
            </w:r>
          </w:p>
        </w:tc>
      </w:tr>
      <w:tr>
        <w:tc>
          <w:tcPr/>
          <w:p>
            <w:pPr>
              <w:pStyle w:val="Compact"/>
              <w:bidi/>
              <w:jc w:val="left"/>
            </w:pPr>
            <w:r>
              <w:rPr>
                <w:rtl/>
              </w:rPr>
              <w:t xml:space="preserve">إجازة قانون الحكم الإقليمي الانتقالي، بما فيه عواصم الأقاليم وحدود إقليمي كردفان</w:t>
            </w:r>
          </w:p>
        </w:tc>
        <w:tc>
          <w:tcPr/>
          <w:p>
            <w:pPr>
              <w:pStyle w:val="Compact"/>
              <w:bidi/>
              <w:jc w:val="left"/>
            </w:pPr>
            <w:r>
              <w:rPr>
                <w:rtl/>
              </w:rPr>
              <w:t xml:space="preserve">الشهر 3</w:t>
            </w:r>
          </w:p>
        </w:tc>
      </w:tr>
      <w:tr>
        <w:tc>
          <w:tcPr/>
          <w:p>
            <w:pPr>
              <w:pStyle w:val="Compact"/>
              <w:bidi/>
              <w:jc w:val="left"/>
            </w:pPr>
            <w:r>
              <w:rPr>
                <w:rtl/>
              </w:rPr>
              <w:t xml:space="preserve">تعيين الحكام وإقرارهم من الجمعية التأسيسية</w:t>
            </w:r>
          </w:p>
        </w:tc>
        <w:tc>
          <w:tcPr/>
          <w:p>
            <w:pPr>
              <w:pStyle w:val="Compact"/>
              <w:bidi/>
              <w:jc w:val="left"/>
            </w:pPr>
            <w:r>
              <w:rPr>
                <w:rtl/>
              </w:rPr>
              <w:t xml:space="preserve">الأشهر 3–4</w:t>
            </w:r>
          </w:p>
        </w:tc>
      </w:tr>
      <w:tr>
        <w:tc>
          <w:tcPr/>
          <w:p>
            <w:pPr>
              <w:pStyle w:val="Compact"/>
              <w:bidi/>
              <w:jc w:val="left"/>
            </w:pPr>
            <w:r>
              <w:rPr>
                <w:rtl/>
              </w:rPr>
              <w:t xml:space="preserve">تكوين حكومات الأقاليم وتعيين الأمناء العامين</w:t>
            </w:r>
          </w:p>
        </w:tc>
        <w:tc>
          <w:tcPr/>
          <w:p>
            <w:pPr>
              <w:pStyle w:val="Compact"/>
              <w:bidi/>
              <w:jc w:val="left"/>
            </w:pPr>
            <w:r>
              <w:rPr>
                <w:rtl/>
              </w:rPr>
              <w:t xml:space="preserve">الأشهر 4–6</w:t>
            </w:r>
          </w:p>
        </w:tc>
      </w:tr>
      <w:tr>
        <w:tc>
          <w:tcPr/>
          <w:p>
            <w:pPr>
              <w:pStyle w:val="Compact"/>
              <w:bidi/>
              <w:jc w:val="left"/>
            </w:pPr>
            <w:r>
              <w:rPr>
                <w:rtl/>
              </w:rPr>
              <w:t xml:space="preserve">نقل الاختصاصات الإدارية من الولايات إلى الأقاليم</w:t>
            </w:r>
          </w:p>
        </w:tc>
        <w:tc>
          <w:tcPr/>
          <w:p>
            <w:pPr>
              <w:pStyle w:val="Compact"/>
              <w:bidi/>
              <w:jc w:val="left"/>
            </w:pPr>
            <w:r>
              <w:rPr>
                <w:rtl/>
              </w:rPr>
              <w:t xml:space="preserve">الأشهر 4–6</w:t>
            </w:r>
          </w:p>
        </w:tc>
      </w:tr>
      <w:tr>
        <w:tc>
          <w:tcPr/>
          <w:p>
            <w:pPr>
              <w:pStyle w:val="Compact"/>
              <w:bidi/>
              <w:jc w:val="left"/>
            </w:pPr>
            <w:r>
              <w:rPr>
                <w:rtl/>
              </w:rPr>
              <w:t xml:space="preserve">نقل الموظفين والأصول وفق جداول معلنة</w:t>
            </w:r>
          </w:p>
        </w:tc>
        <w:tc>
          <w:tcPr/>
          <w:p>
            <w:pPr>
              <w:pStyle w:val="Compact"/>
              <w:bidi/>
              <w:jc w:val="left"/>
            </w:pPr>
            <w:r>
              <w:rPr>
                <w:rtl/>
              </w:rPr>
              <w:t xml:space="preserve">الأشهر 7–10</w:t>
            </w:r>
          </w:p>
        </w:tc>
      </w:tr>
      <w:tr>
        <w:tc>
          <w:tcPr/>
          <w:p>
            <w:pPr>
              <w:pStyle w:val="Compact"/>
              <w:bidi/>
              <w:jc w:val="left"/>
            </w:pPr>
            <w:r>
              <w:rPr>
                <w:rtl/>
              </w:rPr>
              <w:t xml:space="preserve">أول تحويلات مالية وفق المعادلة المعلنة</w:t>
            </w:r>
          </w:p>
        </w:tc>
        <w:tc>
          <w:tcPr/>
          <w:p>
            <w:pPr>
              <w:pStyle w:val="Compact"/>
              <w:bidi/>
              <w:jc w:val="left"/>
            </w:pPr>
            <w:r>
              <w:rPr>
                <w:rtl/>
              </w:rPr>
              <w:t xml:space="preserve">الشهر 7</w:t>
            </w:r>
          </w:p>
        </w:tc>
      </w:tr>
      <w:tr>
        <w:tc>
          <w:tcPr/>
          <w:p>
            <w:pPr>
              <w:pStyle w:val="Compact"/>
              <w:bidi/>
              <w:jc w:val="left"/>
            </w:pPr>
            <w:r>
              <w:rPr>
                <w:rtl/>
              </w:rPr>
              <w:t xml:space="preserve">إنشاء شرطة الأقاليم</w:t>
            </w:r>
          </w:p>
        </w:tc>
        <w:tc>
          <w:tcPr/>
          <w:p>
            <w:pPr>
              <w:pStyle w:val="Compact"/>
              <w:bidi/>
              <w:jc w:val="left"/>
            </w:pPr>
            <w:r>
              <w:rPr>
                <w:rtl/>
              </w:rPr>
              <w:t xml:space="preserve">الأشهر 7–12</w:t>
            </w:r>
          </w:p>
        </w:tc>
      </w:tr>
      <w:tr>
        <w:tc>
          <w:tcPr/>
          <w:p>
            <w:pPr>
              <w:pStyle w:val="Compact"/>
              <w:bidi/>
              <w:jc w:val="left"/>
            </w:pPr>
            <w:r>
              <w:rPr>
                <w:rtl/>
              </w:rPr>
              <w:t xml:space="preserve">اكتمال الانتقال</w:t>
            </w:r>
          </w:p>
        </w:tc>
        <w:tc>
          <w:tcPr/>
          <w:p>
            <w:pPr>
              <w:pStyle w:val="Compact"/>
              <w:bidi/>
              <w:jc w:val="left"/>
            </w:pPr>
            <w:r>
              <w:rPr>
                <w:rtl/>
              </w:rPr>
              <w:t xml:space="preserve">الشهر 12</w:t>
            </w:r>
          </w:p>
        </w:tc>
      </w:tr>
    </w:tbl>
    <w:p>
      <w:pPr>
        <w:bidi/>
      </w:pPr>
      <w:r>
        <w:rPr>
          <w:rtl/>
        </w:rPr>
        <w:br w:type="page"/>
      </w:r>
    </w:p>
    <w:bookmarkEnd w:id="47"/>
    <w:bookmarkEnd w:id="48"/>
    <w:bookmarkStart w:id="49" w:name="الملحق-الخامس-الأجندة-التشريعية"/>
    <w:p>
      <w:pPr>
        <w:pStyle w:val="Heading1"/>
        <w:bidi/>
      </w:pPr>
      <w:r>
        <w:rPr>
          <w:rtl/>
        </w:rPr>
        <w:t xml:space="preserve">الملحق الخامس: الأجندة التشريعية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القانون</w:t>
            </w:r>
          </w:p>
        </w:tc>
        <w:tc>
          <w:tcPr/>
          <w:p>
            <w:pPr>
              <w:pStyle w:val="Compact"/>
              <w:bidi/>
              <w:jc w:val="left"/>
            </w:pPr>
            <w:r>
              <w:rPr>
                <w:rtl/>
              </w:rPr>
              <w:t xml:space="preserve">الجهة المقترحة</w:t>
            </w:r>
          </w:p>
        </w:tc>
        <w:tc>
          <w:tcPr/>
          <w:p>
            <w:pPr>
              <w:pStyle w:val="Compact"/>
              <w:bidi/>
              <w:jc w:val="left"/>
            </w:pPr>
            <w:r>
              <w:rPr>
                <w:rtl/>
              </w:rPr>
              <w:t xml:space="preserve">الموعد المستهدف للإجازة (شهر)</w:t>
            </w:r>
          </w:p>
        </w:tc>
      </w:tr>
      <w:tr>
        <w:tc>
          <w:tcPr/>
          <w:p>
            <w:pPr>
              <w:pStyle w:val="Compact"/>
              <w:bidi/>
              <w:jc w:val="left"/>
            </w:pPr>
            <w:r>
              <w:rPr>
                <w:rtl/>
              </w:rPr>
              <w:t xml:space="preserve">قانون مفوضية التعداد السكاني والانتخابات</w:t>
            </w:r>
          </w:p>
        </w:tc>
        <w:tc>
          <w:tcPr/>
          <w:p>
            <w:pPr>
              <w:pStyle w:val="Compact"/>
              <w:bidi/>
              <w:jc w:val="left"/>
            </w:pPr>
            <w:r>
              <w:rPr>
                <w:rtl/>
              </w:rPr>
              <w:t xml:space="preserve">العدل والإصلاح القانوني</w:t>
            </w:r>
          </w:p>
        </w:tc>
        <w:tc>
          <w:tcPr/>
          <w:p>
            <w:pPr>
              <w:pStyle w:val="Compact"/>
              <w:bidi/>
              <w:jc w:val="left"/>
            </w:pPr>
            <w:r>
              <w:rPr>
                <w:rtl/>
              </w:rPr>
              <w:t xml:space="preserve">3</w:t>
            </w:r>
          </w:p>
        </w:tc>
      </w:tr>
      <w:tr>
        <w:tc>
          <w:tcPr/>
          <w:p>
            <w:pPr>
              <w:pStyle w:val="Compact"/>
              <w:bidi/>
              <w:jc w:val="left"/>
            </w:pPr>
            <w:r>
              <w:rPr>
                <w:rtl/>
              </w:rPr>
              <w:t xml:space="preserve">قانون الحكم الإقليمي الانتقالي</w:t>
            </w:r>
          </w:p>
        </w:tc>
        <w:tc>
          <w:tcPr/>
          <w:p>
            <w:pPr>
              <w:pStyle w:val="Compact"/>
              <w:bidi/>
              <w:jc w:val="left"/>
            </w:pPr>
            <w:r>
              <w:rPr>
                <w:rtl/>
              </w:rPr>
              <w:t xml:space="preserve">الداخلية والحكم المحلي</w:t>
            </w:r>
          </w:p>
        </w:tc>
        <w:tc>
          <w:tcPr/>
          <w:p>
            <w:pPr>
              <w:pStyle w:val="Compact"/>
              <w:bidi/>
              <w:jc w:val="left"/>
            </w:pPr>
            <w:r>
              <w:rPr>
                <w:rtl/>
              </w:rPr>
              <w:t xml:space="preserve">3</w:t>
            </w:r>
          </w:p>
        </w:tc>
      </w:tr>
      <w:tr>
        <w:tc>
          <w:tcPr/>
          <w:p>
            <w:pPr>
              <w:pStyle w:val="Compact"/>
              <w:bidi/>
              <w:jc w:val="left"/>
            </w:pPr>
            <w:r>
              <w:rPr>
                <w:rtl/>
              </w:rPr>
              <w:t xml:space="preserve">قانون المكتب المركزي لمكافحة الفساد</w:t>
            </w:r>
          </w:p>
        </w:tc>
        <w:tc>
          <w:tcPr/>
          <w:p>
            <w:pPr>
              <w:pStyle w:val="Compact"/>
              <w:bidi/>
              <w:jc w:val="left"/>
            </w:pPr>
            <w:r>
              <w:rPr>
                <w:rtl/>
              </w:rPr>
              <w:t xml:space="preserve">العدل والإصلاح القانوني</w:t>
            </w:r>
          </w:p>
        </w:tc>
        <w:tc>
          <w:tcPr/>
          <w:p>
            <w:pPr>
              <w:pStyle w:val="Compact"/>
              <w:bidi/>
              <w:jc w:val="left"/>
            </w:pPr>
            <w:r>
              <w:rPr>
                <w:rtl/>
              </w:rPr>
              <w:t xml:space="preserve">4</w:t>
            </w:r>
          </w:p>
        </w:tc>
      </w:tr>
      <w:tr>
        <w:tc>
          <w:tcPr/>
          <w:p>
            <w:pPr>
              <w:pStyle w:val="Compact"/>
              <w:bidi/>
              <w:jc w:val="left"/>
            </w:pPr>
            <w:r>
              <w:rPr>
                <w:rtl/>
              </w:rPr>
              <w:t xml:space="preserve">قانون الهيئة الوطنية المستقلة للحوار</w:t>
            </w:r>
          </w:p>
        </w:tc>
        <w:tc>
          <w:tcPr/>
          <w:p>
            <w:pPr>
              <w:pStyle w:val="Compact"/>
              <w:bidi/>
              <w:jc w:val="left"/>
            </w:pPr>
            <w:r>
              <w:rPr>
                <w:rtl/>
              </w:rPr>
              <w:t xml:space="preserve">رئاسة الوزراء</w:t>
            </w:r>
          </w:p>
        </w:tc>
        <w:tc>
          <w:tcPr/>
          <w:p>
            <w:pPr>
              <w:pStyle w:val="Compact"/>
              <w:bidi/>
              <w:jc w:val="left"/>
            </w:pPr>
            <w:r>
              <w:rPr>
                <w:rtl/>
              </w:rPr>
              <w:t xml:space="preserve">3</w:t>
            </w:r>
          </w:p>
        </w:tc>
      </w:tr>
      <w:tr>
        <w:tc>
          <w:tcPr/>
          <w:p>
            <w:pPr>
              <w:pStyle w:val="Compact"/>
              <w:bidi/>
              <w:jc w:val="left"/>
            </w:pPr>
            <w:r>
              <w:rPr>
                <w:rtl/>
              </w:rPr>
              <w:t xml:space="preserve">قانون الأحزاب السياسية</w:t>
            </w:r>
          </w:p>
        </w:tc>
        <w:tc>
          <w:tcPr/>
          <w:p>
            <w:pPr>
              <w:pStyle w:val="Compact"/>
              <w:bidi/>
              <w:jc w:val="left"/>
            </w:pPr>
            <w:r>
              <w:rPr>
                <w:rtl/>
              </w:rPr>
              <w:t xml:space="preserve">العدل والإصلاح القانوني</w:t>
            </w:r>
          </w:p>
        </w:tc>
        <w:tc>
          <w:tcPr/>
          <w:p>
            <w:pPr>
              <w:pStyle w:val="Compact"/>
              <w:bidi/>
              <w:jc w:val="left"/>
            </w:pPr>
            <w:r>
              <w:rPr>
                <w:rtl/>
              </w:rPr>
              <w:t xml:space="preserve">6</w:t>
            </w:r>
          </w:p>
        </w:tc>
      </w:tr>
      <w:tr>
        <w:tc>
          <w:tcPr/>
          <w:p>
            <w:pPr>
              <w:pStyle w:val="Compact"/>
              <w:bidi/>
              <w:jc w:val="left"/>
            </w:pPr>
            <w:r>
              <w:rPr>
                <w:rtl/>
              </w:rPr>
              <w:t xml:space="preserve">قانون القوات المسلحة</w:t>
            </w:r>
          </w:p>
        </w:tc>
        <w:tc>
          <w:tcPr/>
          <w:p>
            <w:pPr>
              <w:pStyle w:val="Compact"/>
              <w:bidi/>
              <w:jc w:val="left"/>
            </w:pPr>
            <w:r>
              <w:rPr>
                <w:rtl/>
              </w:rPr>
              <w:t xml:space="preserve">الدفاع</w:t>
            </w:r>
          </w:p>
        </w:tc>
        <w:tc>
          <w:tcPr/>
          <w:p>
            <w:pPr>
              <w:pStyle w:val="Compact"/>
              <w:bidi/>
              <w:jc w:val="left"/>
            </w:pPr>
            <w:r>
              <w:rPr>
                <w:rtl/>
              </w:rPr>
              <w:t xml:space="preserve">6</w:t>
            </w:r>
          </w:p>
        </w:tc>
      </w:tr>
      <w:tr>
        <w:tc>
          <w:tcPr/>
          <w:p>
            <w:pPr>
              <w:pStyle w:val="Compact"/>
              <w:bidi/>
              <w:jc w:val="left"/>
            </w:pPr>
            <w:r>
              <w:rPr>
                <w:rtl/>
              </w:rPr>
              <w:t xml:space="preserve">قانون الدمج والتسريح وإعادة الإدماج</w:t>
            </w:r>
          </w:p>
        </w:tc>
        <w:tc>
          <w:tcPr/>
          <w:p>
            <w:pPr>
              <w:pStyle w:val="Compact"/>
              <w:bidi/>
              <w:jc w:val="left"/>
            </w:pPr>
            <w:r>
              <w:rPr>
                <w:rtl/>
              </w:rPr>
              <w:t xml:space="preserve">الدفاع</w:t>
            </w:r>
          </w:p>
        </w:tc>
        <w:tc>
          <w:tcPr/>
          <w:p>
            <w:pPr>
              <w:pStyle w:val="Compact"/>
              <w:bidi/>
              <w:jc w:val="left"/>
            </w:pPr>
            <w:r>
              <w:rPr>
                <w:rtl/>
              </w:rPr>
              <w:t xml:space="preserve">6</w:t>
            </w:r>
          </w:p>
        </w:tc>
      </w:tr>
      <w:tr>
        <w:tc>
          <w:tcPr/>
          <w:p>
            <w:pPr>
              <w:pStyle w:val="Compact"/>
              <w:bidi/>
              <w:jc w:val="left"/>
            </w:pPr>
            <w:r>
              <w:rPr>
                <w:rtl/>
              </w:rPr>
              <w:t xml:space="preserve">قوانين المفوضيات القومية (حقوق الإنسان، العدالة الانتقالية، الخدمة المدنية، الأراضي، الإعمار، العون الإنساني)</w:t>
            </w:r>
          </w:p>
        </w:tc>
        <w:tc>
          <w:tcPr/>
          <w:p>
            <w:pPr>
              <w:pStyle w:val="Compact"/>
              <w:bidi/>
              <w:jc w:val="left"/>
            </w:pPr>
            <w:r>
              <w:rPr>
                <w:rtl/>
              </w:rPr>
              <w:t xml:space="preserve">العدل والإصلاح القانوني</w:t>
            </w:r>
          </w:p>
        </w:tc>
        <w:tc>
          <w:tcPr/>
          <w:p>
            <w:pPr>
              <w:pStyle w:val="Compact"/>
              <w:bidi/>
              <w:jc w:val="left"/>
            </w:pPr>
            <w:r>
              <w:rPr>
                <w:rtl/>
              </w:rPr>
              <w:t xml:space="preserve">6–9</w:t>
            </w:r>
          </w:p>
        </w:tc>
      </w:tr>
      <w:tr>
        <w:tc>
          <w:tcPr/>
          <w:p>
            <w:pPr>
              <w:pStyle w:val="Compact"/>
              <w:bidi/>
              <w:jc w:val="left"/>
            </w:pPr>
            <w:r>
              <w:rPr>
                <w:rtl/>
              </w:rPr>
              <w:t xml:space="preserve">قانون العدالة الانتقالية والمحاكم المختلطة</w:t>
            </w:r>
          </w:p>
        </w:tc>
        <w:tc>
          <w:tcPr/>
          <w:p>
            <w:pPr>
              <w:pStyle w:val="Compact"/>
              <w:bidi/>
              <w:jc w:val="left"/>
            </w:pPr>
            <w:r>
              <w:rPr>
                <w:rtl/>
              </w:rPr>
              <w:t xml:space="preserve">العدل والإصلاح القانوني</w:t>
            </w:r>
          </w:p>
        </w:tc>
        <w:tc>
          <w:tcPr/>
          <w:p>
            <w:pPr>
              <w:pStyle w:val="Compact"/>
              <w:bidi/>
              <w:jc w:val="left"/>
            </w:pPr>
            <w:r>
              <w:rPr>
                <w:rtl/>
              </w:rPr>
              <w:t xml:space="preserve">9</w:t>
            </w:r>
          </w:p>
        </w:tc>
      </w:tr>
      <w:tr>
        <w:tc>
          <w:tcPr/>
          <w:p>
            <w:pPr>
              <w:pStyle w:val="Compact"/>
              <w:bidi/>
              <w:jc w:val="left"/>
            </w:pPr>
            <w:r>
              <w:rPr>
                <w:rtl/>
              </w:rPr>
              <w:t xml:space="preserve">قانون حماية الشهود</w:t>
            </w:r>
          </w:p>
        </w:tc>
        <w:tc>
          <w:tcPr/>
          <w:p>
            <w:pPr>
              <w:pStyle w:val="Compact"/>
              <w:bidi/>
              <w:jc w:val="left"/>
            </w:pPr>
            <w:r>
              <w:rPr>
                <w:rtl/>
              </w:rPr>
              <w:t xml:space="preserve">العدل والإصلاح القانوني</w:t>
            </w:r>
          </w:p>
        </w:tc>
        <w:tc>
          <w:tcPr/>
          <w:p>
            <w:pPr>
              <w:pStyle w:val="Compact"/>
              <w:bidi/>
              <w:jc w:val="left"/>
            </w:pPr>
            <w:r>
              <w:rPr>
                <w:rtl/>
              </w:rPr>
              <w:t xml:space="preserve">9</w:t>
            </w:r>
          </w:p>
        </w:tc>
      </w:tr>
      <w:tr>
        <w:tc>
          <w:tcPr/>
          <w:p>
            <w:pPr>
              <w:pStyle w:val="Compact"/>
              <w:bidi/>
              <w:jc w:val="left"/>
            </w:pPr>
            <w:r>
              <w:rPr>
                <w:rtl/>
              </w:rPr>
              <w:t xml:space="preserve">قانون الشرطة</w:t>
            </w:r>
          </w:p>
        </w:tc>
        <w:tc>
          <w:tcPr/>
          <w:p>
            <w:pPr>
              <w:pStyle w:val="Compact"/>
              <w:bidi/>
              <w:jc w:val="left"/>
            </w:pPr>
            <w:r>
              <w:rPr>
                <w:rtl/>
              </w:rPr>
              <w:t xml:space="preserve">الداخلية</w:t>
            </w:r>
          </w:p>
        </w:tc>
        <w:tc>
          <w:tcPr/>
          <w:p>
            <w:pPr>
              <w:pStyle w:val="Compact"/>
              <w:bidi/>
              <w:jc w:val="left"/>
            </w:pPr>
            <w:r>
              <w:rPr>
                <w:rtl/>
              </w:rPr>
              <w:t xml:space="preserve">9</w:t>
            </w:r>
          </w:p>
        </w:tc>
      </w:tr>
      <w:tr>
        <w:tc>
          <w:tcPr/>
          <w:p>
            <w:pPr>
              <w:pStyle w:val="Compact"/>
              <w:bidi/>
              <w:jc w:val="left"/>
            </w:pPr>
            <w:r>
              <w:rPr>
                <w:rtl/>
              </w:rPr>
              <w:t xml:space="preserve">قانون حق الحصول على المعلومات</w:t>
            </w:r>
          </w:p>
        </w:tc>
        <w:tc>
          <w:tcPr/>
          <w:p>
            <w:pPr>
              <w:pStyle w:val="Compact"/>
              <w:bidi/>
              <w:jc w:val="left"/>
            </w:pPr>
            <w:r>
              <w:rPr>
                <w:rtl/>
              </w:rPr>
              <w:t xml:space="preserve">الثقافة والإعلام</w:t>
            </w:r>
          </w:p>
        </w:tc>
        <w:tc>
          <w:tcPr/>
          <w:p>
            <w:pPr>
              <w:pStyle w:val="Compact"/>
              <w:bidi/>
              <w:jc w:val="left"/>
            </w:pPr>
            <w:r>
              <w:rPr>
                <w:rtl/>
              </w:rPr>
              <w:t xml:space="preserve">9</w:t>
            </w:r>
          </w:p>
        </w:tc>
      </w:tr>
      <w:tr>
        <w:tc>
          <w:tcPr/>
          <w:p>
            <w:pPr>
              <w:pStyle w:val="Compact"/>
              <w:bidi/>
              <w:jc w:val="left"/>
            </w:pPr>
            <w:r>
              <w:rPr>
                <w:rtl/>
              </w:rPr>
              <w:t xml:space="preserve">قانون حماية البيانات الشخصية والمعاملات الإلكترونية</w:t>
            </w:r>
          </w:p>
        </w:tc>
        <w:tc>
          <w:tcPr/>
          <w:p>
            <w:pPr>
              <w:pStyle w:val="Compact"/>
              <w:bidi/>
              <w:jc w:val="left"/>
            </w:pPr>
            <w:r>
              <w:rPr>
                <w:rtl/>
              </w:rPr>
              <w:t xml:space="preserve">رئاسة الوزراء</w:t>
            </w:r>
          </w:p>
        </w:tc>
        <w:tc>
          <w:tcPr/>
          <w:p>
            <w:pPr>
              <w:pStyle w:val="Compact"/>
              <w:bidi/>
              <w:jc w:val="left"/>
            </w:pPr>
            <w:r>
              <w:rPr>
                <w:rtl/>
              </w:rPr>
              <w:t xml:space="preserve">9</w:t>
            </w:r>
          </w:p>
        </w:tc>
      </w:tr>
      <w:tr>
        <w:tc>
          <w:tcPr/>
          <w:p>
            <w:pPr>
              <w:pStyle w:val="Compact"/>
              <w:bidi/>
              <w:jc w:val="left"/>
            </w:pPr>
            <w:r>
              <w:rPr>
                <w:rtl/>
              </w:rPr>
              <w:t xml:space="preserve">قانون الأراضي (الإطار الانتقالي)</w:t>
            </w:r>
          </w:p>
        </w:tc>
        <w:tc>
          <w:tcPr/>
          <w:p>
            <w:pPr>
              <w:pStyle w:val="Compact"/>
              <w:bidi/>
              <w:jc w:val="left"/>
            </w:pPr>
            <w:r>
              <w:rPr>
                <w:rtl/>
              </w:rPr>
              <w:t xml:space="preserve">الزراعة، العدل</w:t>
            </w:r>
          </w:p>
        </w:tc>
        <w:tc>
          <w:tcPr/>
          <w:p>
            <w:pPr>
              <w:pStyle w:val="Compact"/>
              <w:bidi/>
              <w:jc w:val="left"/>
            </w:pPr>
            <w:r>
              <w:rPr>
                <w:rtl/>
              </w:rPr>
              <w:t xml:space="preserve">12</w:t>
            </w:r>
          </w:p>
        </w:tc>
      </w:tr>
      <w:tr>
        <w:tc>
          <w:tcPr/>
          <w:p>
            <w:pPr>
              <w:pStyle w:val="Compact"/>
              <w:bidi/>
              <w:jc w:val="left"/>
            </w:pPr>
            <w:r>
              <w:rPr>
                <w:rtl/>
              </w:rPr>
              <w:t xml:space="preserve">قانون الخدمة المدنية</w:t>
            </w:r>
          </w:p>
        </w:tc>
        <w:tc>
          <w:tcPr/>
          <w:p>
            <w:pPr>
              <w:pStyle w:val="Compact"/>
              <w:bidi/>
              <w:jc w:val="left"/>
            </w:pPr>
            <w:r>
              <w:rPr>
                <w:rtl/>
              </w:rPr>
              <w:t xml:space="preserve">الإصلاح المؤسسي</w:t>
            </w:r>
          </w:p>
        </w:tc>
        <w:tc>
          <w:tcPr/>
          <w:p>
            <w:pPr>
              <w:pStyle w:val="Compact"/>
              <w:bidi/>
              <w:jc w:val="left"/>
            </w:pPr>
            <w:r>
              <w:rPr>
                <w:rtl/>
              </w:rPr>
              <w:t xml:space="preserve">15</w:t>
            </w:r>
          </w:p>
        </w:tc>
      </w:tr>
      <w:tr>
        <w:tc>
          <w:tcPr/>
          <w:p>
            <w:pPr>
              <w:pStyle w:val="Compact"/>
              <w:bidi/>
              <w:jc w:val="left"/>
            </w:pPr>
            <w:r>
              <w:rPr>
                <w:rtl/>
              </w:rPr>
              <w:t xml:space="preserve">قانون الإعلام وهيئة البث العام</w:t>
            </w:r>
          </w:p>
        </w:tc>
        <w:tc>
          <w:tcPr/>
          <w:p>
            <w:pPr>
              <w:pStyle w:val="Compact"/>
              <w:bidi/>
              <w:jc w:val="left"/>
            </w:pPr>
            <w:r>
              <w:rPr>
                <w:rtl/>
              </w:rPr>
              <w:t xml:space="preserve">الثقافة والإعلام</w:t>
            </w:r>
          </w:p>
        </w:tc>
        <w:tc>
          <w:tcPr/>
          <w:p>
            <w:pPr>
              <w:pStyle w:val="Compact"/>
              <w:bidi/>
              <w:jc w:val="left"/>
            </w:pPr>
            <w:r>
              <w:rPr>
                <w:rtl/>
              </w:rPr>
              <w:t xml:space="preserve">12</w:t>
            </w:r>
          </w:p>
        </w:tc>
      </w:tr>
      <w:tr>
        <w:tc>
          <w:tcPr/>
          <w:p>
            <w:pPr>
              <w:pStyle w:val="Compact"/>
              <w:bidi/>
              <w:jc w:val="left"/>
            </w:pPr>
            <w:r>
              <w:rPr>
                <w:rtl/>
              </w:rPr>
              <w:t xml:space="preserve">قانون الاستثمار</w:t>
            </w:r>
          </w:p>
        </w:tc>
        <w:tc>
          <w:tcPr/>
          <w:p>
            <w:pPr>
              <w:pStyle w:val="Compact"/>
              <w:bidi/>
              <w:jc w:val="left"/>
            </w:pPr>
            <w:r>
              <w:rPr>
                <w:rtl/>
              </w:rPr>
              <w:t xml:space="preserve">الاقتصاد والاستثمار</w:t>
            </w:r>
          </w:p>
        </w:tc>
        <w:tc>
          <w:tcPr/>
          <w:p>
            <w:pPr>
              <w:pStyle w:val="Compact"/>
              <w:bidi/>
              <w:jc w:val="left"/>
            </w:pPr>
            <w:r>
              <w:rPr>
                <w:rtl/>
              </w:rPr>
              <w:t xml:space="preserve">12</w:t>
            </w:r>
          </w:p>
        </w:tc>
      </w:tr>
      <w:tr>
        <w:tc>
          <w:tcPr/>
          <w:p>
            <w:pPr>
              <w:pStyle w:val="Compact"/>
              <w:bidi/>
              <w:jc w:val="left"/>
            </w:pPr>
            <w:r>
              <w:rPr>
                <w:rtl/>
              </w:rPr>
              <w:t xml:space="preserve">قانون الشركات العامة وممتلكات الدولة</w:t>
            </w:r>
          </w:p>
        </w:tc>
        <w:tc>
          <w:tcPr/>
          <w:p>
            <w:pPr>
              <w:pStyle w:val="Compact"/>
              <w:bidi/>
              <w:jc w:val="left"/>
            </w:pPr>
            <w:r>
              <w:rPr>
                <w:rtl/>
              </w:rPr>
              <w:t xml:space="preserve">الاقتصاد وممتلكات الدولة</w:t>
            </w:r>
          </w:p>
        </w:tc>
        <w:tc>
          <w:tcPr/>
          <w:p>
            <w:pPr>
              <w:pStyle w:val="Compact"/>
              <w:bidi/>
              <w:jc w:val="left"/>
            </w:pPr>
            <w:r>
              <w:rPr>
                <w:rtl/>
              </w:rPr>
              <w:t xml:space="preserve">12</w:t>
            </w:r>
          </w:p>
        </w:tc>
      </w:tr>
      <w:tr>
        <w:tc>
          <w:tcPr/>
          <w:p>
            <w:pPr>
              <w:pStyle w:val="Compact"/>
              <w:bidi/>
              <w:jc w:val="left"/>
            </w:pPr>
            <w:r>
              <w:rPr>
                <w:rtl/>
              </w:rPr>
              <w:t xml:space="preserve">قانون الخدمات المالية الرقمية</w:t>
            </w:r>
          </w:p>
        </w:tc>
        <w:tc>
          <w:tcPr/>
          <w:p>
            <w:pPr>
              <w:pStyle w:val="Compact"/>
              <w:bidi/>
              <w:jc w:val="left"/>
            </w:pPr>
            <w:r>
              <w:rPr>
                <w:rtl/>
              </w:rPr>
              <w:t xml:space="preserve">المالية، البنك المركزي</w:t>
            </w:r>
          </w:p>
        </w:tc>
        <w:tc>
          <w:tcPr/>
          <w:p>
            <w:pPr>
              <w:pStyle w:val="Compact"/>
              <w:bidi/>
              <w:jc w:val="left"/>
            </w:pPr>
            <w:r>
              <w:rPr>
                <w:rtl/>
              </w:rPr>
              <w:t xml:space="preserve">12</w:t>
            </w:r>
          </w:p>
        </w:tc>
      </w:tr>
      <w:tr>
        <w:tc>
          <w:tcPr/>
          <w:p>
            <w:pPr>
              <w:pStyle w:val="Compact"/>
              <w:bidi/>
              <w:jc w:val="left"/>
            </w:pPr>
            <w:r>
              <w:rPr>
                <w:rtl/>
              </w:rPr>
              <w:t xml:space="preserve">قانون الانتخابات</w:t>
            </w:r>
          </w:p>
        </w:tc>
        <w:tc>
          <w:tcPr/>
          <w:p>
            <w:pPr>
              <w:pStyle w:val="Compact"/>
              <w:bidi/>
              <w:jc w:val="left"/>
            </w:pPr>
            <w:r>
              <w:rPr>
                <w:rtl/>
              </w:rPr>
              <w:t xml:space="preserve">العدل والإصلاح القانوني</w:t>
            </w:r>
          </w:p>
        </w:tc>
        <w:tc>
          <w:tcPr/>
          <w:p>
            <w:pPr>
              <w:pStyle w:val="Compact"/>
              <w:bidi/>
              <w:jc w:val="left"/>
            </w:pPr>
            <w:r>
              <w:rPr>
                <w:rtl/>
              </w:rPr>
              <w:t xml:space="preserve">20</w:t>
            </w:r>
          </w:p>
        </w:tc>
      </w:tr>
      <w:tr>
        <w:tc>
          <w:tcPr/>
          <w:p>
            <w:pPr>
              <w:pStyle w:val="Compact"/>
              <w:bidi/>
              <w:jc w:val="left"/>
            </w:pPr>
            <w:r>
              <w:rPr>
                <w:rtl/>
              </w:rPr>
              <w:t xml:space="preserve">قانون الاستفتاء الدستوري</w:t>
            </w:r>
          </w:p>
        </w:tc>
        <w:tc>
          <w:tcPr/>
          <w:p>
            <w:pPr>
              <w:pStyle w:val="Compact"/>
              <w:bidi/>
              <w:jc w:val="left"/>
            </w:pPr>
            <w:r>
              <w:rPr>
                <w:rtl/>
              </w:rPr>
              <w:t xml:space="preserve">العدل والإصلاح القانوني</w:t>
            </w:r>
          </w:p>
        </w:tc>
        <w:tc>
          <w:tcPr/>
          <w:p>
            <w:pPr>
              <w:pStyle w:val="Compact"/>
              <w:bidi/>
              <w:jc w:val="left"/>
            </w:pPr>
            <w:r>
              <w:rPr>
                <w:rtl/>
              </w:rPr>
              <w:t xml:space="preserve">22</w:t>
            </w:r>
          </w:p>
        </w:tc>
      </w:tr>
    </w:tbl>
    <w:p>
      <w:pPr>
        <w:bidi/>
      </w:pPr>
      <w:r>
        <w:rPr>
          <w:rtl/>
        </w:rPr>
        <w:br w:type="page"/>
      </w:r>
    </w:p>
    <w:bookmarkEnd w:id="49"/>
    <w:bookmarkStart w:id="50" w:name="الملحق-السادس-الخطة-الزمنية-الشاملة"/>
    <w:p>
      <w:pPr>
        <w:pStyle w:val="Heading1"/>
        <w:bidi/>
      </w:pPr>
      <w:r>
        <w:rPr>
          <w:rtl/>
        </w:rPr>
        <w:t xml:space="preserve">الملحق السادس: الخطة الزمنية الشاملة</w:t>
      </w:r>
    </w:p>
    <w:tbl>
      <w:tblPr>
        <w:tblStyle w:val="Table"/>
        <w:bidiVisual/>
        <w:tblW w:w="5000" w:type="pct"/>
        <w:jc w:val="start"/>
        <w:tblLook w:val="04A0" w:firstRow="1" w:lastRow="0" w:firstColumn="0" w:lastColumn="0" w:noHBand="0" w:noVBand="1"/>
      </w:tblPr>
      <w:tblGrid>
        <w:gridCol w:w="1131"/>
        <w:gridCol w:w="1131"/>
        <w:gridCol w:w="1131"/>
        <w:gridCol w:w="1131"/>
        <w:gridCol w:w="1131"/>
        <w:gridCol w:w="1131"/>
        <w:gridCol w:w="1131"/>
      </w:tblGrid>
      <w:tr>
        <w:trPr>
          <w:tblHeader w:val="true"/>
        </w:trPr>
        <w:tc>
          <w:tcPr/>
          <w:p>
            <w:pPr>
              <w:pStyle w:val="Compact"/>
              <w:bidi/>
              <w:jc w:val="left"/>
            </w:pPr>
            <w:r>
              <w:rPr>
                <w:rtl/>
              </w:rPr>
              <w:t xml:space="preserve">الفترة (شهر)</w:t>
            </w:r>
          </w:p>
        </w:tc>
        <w:tc>
          <w:tcPr/>
          <w:p>
            <w:pPr>
              <w:pStyle w:val="Compact"/>
              <w:bidi/>
              <w:jc w:val="left"/>
            </w:pPr>
            <w:r>
              <w:rPr>
                <w:rtl/>
              </w:rPr>
              <w:t xml:space="preserve">السلام والأمن</w:t>
            </w:r>
          </w:p>
        </w:tc>
        <w:tc>
          <w:tcPr/>
          <w:p>
            <w:pPr>
              <w:pStyle w:val="Compact"/>
              <w:bidi/>
              <w:jc w:val="left"/>
            </w:pPr>
            <w:r>
              <w:rPr>
                <w:rtl/>
              </w:rPr>
              <w:t xml:space="preserve">الاقتصاد والمالية</w:t>
            </w:r>
          </w:p>
        </w:tc>
        <w:tc>
          <w:tcPr/>
          <w:p>
            <w:pPr>
              <w:pStyle w:val="Compact"/>
              <w:bidi/>
              <w:jc w:val="left"/>
            </w:pPr>
            <w:r>
              <w:rPr>
                <w:rtl/>
              </w:rPr>
              <w:t xml:space="preserve">الدولة والأقاليم</w:t>
            </w:r>
          </w:p>
        </w:tc>
        <w:tc>
          <w:tcPr/>
          <w:p>
            <w:pPr>
              <w:pStyle w:val="Compact"/>
              <w:bidi/>
              <w:jc w:val="left"/>
            </w:pPr>
            <w:r>
              <w:rPr>
                <w:rtl/>
              </w:rPr>
              <w:t xml:space="preserve">الحوار والعدالة</w:t>
            </w:r>
          </w:p>
        </w:tc>
        <w:tc>
          <w:tcPr/>
          <w:p>
            <w:pPr>
              <w:pStyle w:val="Compact"/>
              <w:bidi/>
              <w:jc w:val="left"/>
            </w:pPr>
            <w:r>
              <w:rPr>
                <w:rtl/>
              </w:rPr>
              <w:t xml:space="preserve">الخدمات والعودة</w:t>
            </w:r>
          </w:p>
        </w:tc>
        <w:tc>
          <w:tcPr/>
          <w:p>
            <w:pPr>
              <w:pStyle w:val="Compact"/>
              <w:bidi/>
              <w:jc w:val="left"/>
            </w:pPr>
            <w:r>
              <w:rPr>
                <w:rtl/>
              </w:rPr>
              <w:t xml:space="preserve">الدستور والانتخابات</w:t>
            </w:r>
          </w:p>
        </w:tc>
      </w:tr>
      <w:tr>
        <w:tc>
          <w:tcPr/>
          <w:p>
            <w:pPr>
              <w:pStyle w:val="Compact"/>
              <w:bidi/>
              <w:jc w:val="left"/>
            </w:pPr>
            <w:r>
              <w:rPr>
                <w:b/>
                <w:bCs/>
                <w:rtl/>
              </w:rPr>
              <w:t xml:space="preserve">1–3</w:t>
            </w:r>
          </w:p>
        </w:tc>
        <w:tc>
          <w:tcPr/>
          <w:p>
            <w:pPr>
              <w:pStyle w:val="Compact"/>
              <w:bidi/>
              <w:jc w:val="left"/>
            </w:pPr>
            <w:r>
              <w:rPr>
                <w:rtl/>
              </w:rPr>
              <w:t xml:space="preserve">موقف تفاوضي؛ حل التشكيلات العقائدية</w:t>
            </w:r>
          </w:p>
        </w:tc>
        <w:tc>
          <w:tcPr/>
          <w:p>
            <w:pPr>
              <w:pStyle w:val="Compact"/>
              <w:bidi/>
              <w:jc w:val="left"/>
            </w:pPr>
            <w:r>
              <w:rPr>
                <w:rtl/>
              </w:rPr>
              <w:t xml:space="preserve">خطة منع المجاعة؛ مدخلات الموسم؛ الموازنة المعدلة</w:t>
            </w:r>
          </w:p>
        </w:tc>
        <w:tc>
          <w:tcPr/>
          <w:p>
            <w:pPr>
              <w:pStyle w:val="Compact"/>
              <w:bidi/>
              <w:jc w:val="left"/>
            </w:pPr>
            <w:r>
              <w:rPr>
                <w:rtl/>
              </w:rPr>
              <w:t xml:space="preserve">البوابة الرقمية؛ قانون الحكم الإقليمي</w:t>
            </w:r>
          </w:p>
        </w:tc>
        <w:tc>
          <w:tcPr/>
          <w:p>
            <w:pPr>
              <w:pStyle w:val="Compact"/>
              <w:bidi/>
              <w:jc w:val="left"/>
            </w:pPr>
            <w:r>
              <w:rPr>
                <w:rtl/>
              </w:rPr>
              <w:t xml:space="preserve">قانون الهيئة المستقلة للحوار</w:t>
            </w:r>
          </w:p>
        </w:tc>
        <w:tc>
          <w:tcPr/>
          <w:p>
            <w:pPr>
              <w:pStyle w:val="Compact"/>
              <w:bidi/>
              <w:jc w:val="left"/>
            </w:pPr>
            <w:r>
              <w:rPr>
                <w:rtl/>
              </w:rPr>
              <w:t xml:space="preserve">المسح الأولي</w:t>
            </w:r>
          </w:p>
        </w:tc>
        <w:tc>
          <w:tcPr/>
          <w:p>
            <w:pPr>
              <w:pStyle w:val="Compact"/>
              <w:bidi/>
              <w:jc w:val="left"/>
            </w:pPr>
            <w:r>
              <w:rPr>
                <w:rtl/>
              </w:rPr>
              <w:t xml:space="preserve">قانون المفوضية الانتخابية</w:t>
            </w:r>
          </w:p>
        </w:tc>
      </w:tr>
      <w:tr>
        <w:tc>
          <w:tcPr/>
          <w:p>
            <w:pPr>
              <w:pStyle w:val="Compact"/>
              <w:bidi/>
              <w:jc w:val="left"/>
            </w:pPr>
            <w:r>
              <w:rPr>
                <w:b/>
                <w:bCs/>
                <w:rtl/>
              </w:rPr>
              <w:t xml:space="preserve">4–6</w:t>
            </w:r>
          </w:p>
        </w:tc>
        <w:tc>
          <w:tcPr/>
          <w:p>
            <w:pPr>
              <w:pStyle w:val="Compact"/>
              <w:bidi/>
              <w:jc w:val="left"/>
            </w:pPr>
            <w:r>
              <w:rPr>
                <w:rtl/>
              </w:rPr>
              <w:t xml:space="preserve">قانون القوات المسلحة؛ بدء التسجيل</w:t>
            </w:r>
          </w:p>
        </w:tc>
        <w:tc>
          <w:tcPr/>
          <w:p>
            <w:pPr>
              <w:pStyle w:val="Compact"/>
              <w:bidi/>
              <w:jc w:val="left"/>
            </w:pPr>
            <w:r>
              <w:rPr>
                <w:rtl/>
              </w:rPr>
              <w:t xml:space="preserve">حصر شركات الأجهزة؛ مراكز شراء الذهب</w:t>
            </w:r>
          </w:p>
        </w:tc>
        <w:tc>
          <w:tcPr/>
          <w:p>
            <w:pPr>
              <w:pStyle w:val="Compact"/>
              <w:bidi/>
              <w:jc w:val="left"/>
            </w:pPr>
            <w:r>
              <w:rPr>
                <w:rtl/>
              </w:rPr>
              <w:t xml:space="preserve">تعيين الحكام؛ المحكمة الدستورية</w:t>
            </w:r>
          </w:p>
        </w:tc>
        <w:tc>
          <w:tcPr/>
          <w:p>
            <w:pPr>
              <w:pStyle w:val="Compact"/>
              <w:bidi/>
              <w:jc w:val="left"/>
            </w:pPr>
            <w:r>
              <w:rPr>
                <w:rtl/>
              </w:rPr>
              <w:t xml:space="preserve">انطلاق الحوار؛ مفوضية العدالة الانتقالية</w:t>
            </w:r>
          </w:p>
        </w:tc>
        <w:tc>
          <w:tcPr/>
          <w:p>
            <w:pPr>
              <w:pStyle w:val="Compact"/>
              <w:bidi/>
              <w:jc w:val="left"/>
            </w:pPr>
            <w:r>
              <w:rPr>
                <w:rtl/>
              </w:rPr>
              <w:t xml:space="preserve">خطط قطاعية أولية</w:t>
            </w:r>
          </w:p>
        </w:tc>
        <w:tc>
          <w:tcPr/>
          <w:p>
            <w:pPr>
              <w:pStyle w:val="Compact"/>
              <w:bidi/>
              <w:jc w:val="left"/>
            </w:pPr>
            <w:r>
              <w:rPr>
                <w:rtl/>
              </w:rPr>
              <w:t xml:space="preserve">مفوضية الدستور الدائم؛</w:t>
            </w:r>
            <w:r>
              <w:rPr>
                <w:rtl/>
              </w:rPr>
              <w:t xml:space="preserve"> </w:t>
            </w:r>
            <w:r>
              <w:rPr>
                <w:b/>
                <w:bCs/>
                <w:rtl/>
              </w:rPr>
              <w:t xml:space="preserve">البوابة الأولى</w:t>
            </w:r>
          </w:p>
        </w:tc>
      </w:tr>
      <w:tr>
        <w:tc>
          <w:tcPr/>
          <w:p>
            <w:pPr>
              <w:pStyle w:val="Compact"/>
              <w:bidi/>
              <w:jc w:val="left"/>
            </w:pPr>
            <w:r>
              <w:rPr>
                <w:b/>
                <w:bCs/>
                <w:rtl/>
              </w:rPr>
              <w:t xml:space="preserve">7–12</w:t>
            </w:r>
          </w:p>
        </w:tc>
        <w:tc>
          <w:tcPr/>
          <w:p>
            <w:pPr>
              <w:pStyle w:val="Compact"/>
              <w:bidi/>
              <w:jc w:val="left"/>
            </w:pPr>
            <w:r>
              <w:rPr>
                <w:rtl/>
              </w:rPr>
              <w:t xml:space="preserve">الدمج والتسريح</w:t>
            </w:r>
          </w:p>
        </w:tc>
        <w:tc>
          <w:tcPr/>
          <w:p>
            <w:pPr>
              <w:pStyle w:val="Compact"/>
              <w:bidi/>
              <w:jc w:val="left"/>
            </w:pPr>
            <w:r>
              <w:rPr>
                <w:rtl/>
              </w:rPr>
              <w:t xml:space="preserve">التحويلات النقدية المستهدفة</w:t>
            </w:r>
          </w:p>
        </w:tc>
        <w:tc>
          <w:tcPr/>
          <w:p>
            <w:pPr>
              <w:pStyle w:val="Compact"/>
              <w:bidi/>
              <w:jc w:val="left"/>
            </w:pPr>
            <w:r>
              <w:rPr>
                <w:rtl/>
              </w:rPr>
              <w:t xml:space="preserve">نقل الموارد والموظفين إلى الأقاليم</w:t>
            </w:r>
          </w:p>
        </w:tc>
        <w:tc>
          <w:tcPr/>
          <w:p>
            <w:pPr>
              <w:pStyle w:val="Compact"/>
              <w:bidi/>
              <w:jc w:val="left"/>
            </w:pPr>
            <w:r>
              <w:rPr>
                <w:rtl/>
              </w:rPr>
              <w:t xml:space="preserve">الجلسات المحلية والمؤتمرات القطاعية</w:t>
            </w:r>
          </w:p>
        </w:tc>
        <w:tc>
          <w:tcPr/>
          <w:p>
            <w:pPr>
              <w:pStyle w:val="Compact"/>
              <w:bidi/>
              <w:jc w:val="left"/>
            </w:pPr>
            <w:r>
              <w:rPr>
                <w:rtl/>
              </w:rPr>
              <w:t xml:space="preserve">الخطط القطاعية المنشورة لكل إقليم</w:t>
            </w:r>
          </w:p>
        </w:tc>
        <w:tc>
          <w:tcPr/>
          <w:p>
            <w:pPr>
              <w:pStyle w:val="Compact"/>
              <w:bidi/>
              <w:jc w:val="left"/>
            </w:pPr>
            <w:r>
              <w:rPr>
                <w:rtl/>
              </w:rPr>
              <w:t xml:space="preserve">بدء التعداد</w:t>
            </w:r>
          </w:p>
        </w:tc>
      </w:tr>
      <w:tr>
        <w:tc>
          <w:tcPr/>
          <w:p>
            <w:pPr>
              <w:pStyle w:val="Compact"/>
              <w:bidi/>
              <w:jc w:val="left"/>
            </w:pPr>
            <w:r>
              <w:rPr>
                <w:b/>
                <w:bCs/>
                <w:rtl/>
              </w:rPr>
              <w:t xml:space="preserve">13–18</w:t>
            </w:r>
          </w:p>
        </w:tc>
        <w:tc>
          <w:tcPr/>
          <w:p>
            <w:pPr>
              <w:pStyle w:val="Compact"/>
              <w:bidi/>
              <w:jc w:val="left"/>
            </w:pPr>
            <w:r>
              <w:rPr>
                <w:rtl/>
              </w:rPr>
              <w:t xml:space="preserve">اكتمال المرحلة الأولى من الدمج (50 ألفاً)</w:t>
            </w:r>
          </w:p>
        </w:tc>
        <w:tc>
          <w:tcPr/>
          <w:p>
            <w:pPr>
              <w:pStyle w:val="Compact"/>
              <w:bidi/>
              <w:jc w:val="left"/>
            </w:pPr>
            <w:r>
              <w:rPr>
                <w:rtl/>
              </w:rPr>
              <w:t xml:space="preserve">توحيد سعر الصرف</w:t>
            </w:r>
          </w:p>
        </w:tc>
        <w:tc>
          <w:tcPr/>
          <w:p>
            <w:pPr>
              <w:pStyle w:val="Compact"/>
              <w:bidi/>
              <w:jc w:val="left"/>
            </w:pPr>
            <w:r>
              <w:rPr>
                <w:rtl/>
              </w:rPr>
              <w:t xml:space="preserve">قانون الخدمة المدنية</w:t>
            </w:r>
          </w:p>
        </w:tc>
        <w:tc>
          <w:tcPr/>
          <w:p>
            <w:pPr>
              <w:pStyle w:val="Compact"/>
              <w:bidi/>
              <w:jc w:val="left"/>
            </w:pPr>
            <w:r>
              <w:rPr>
                <w:rtl/>
              </w:rPr>
              <w:t xml:space="preserve">المؤتمر الجامع وإقرار الميثاق</w:t>
            </w:r>
          </w:p>
        </w:tc>
        <w:tc>
          <w:tcPr/>
          <w:p>
            <w:pPr>
              <w:pStyle w:val="Compact"/>
              <w:bidi/>
              <w:jc w:val="left"/>
            </w:pPr>
            <w:r>
              <w:rPr>
                <w:rtl/>
              </w:rPr>
              <w:t xml:space="preserve">توسيع العودة المنظمة</w:t>
            </w:r>
          </w:p>
        </w:tc>
        <w:tc>
          <w:tcPr/>
          <w:p>
            <w:pPr>
              <w:pStyle w:val="Compact"/>
              <w:bidi/>
              <w:jc w:val="left"/>
            </w:pPr>
            <w:r>
              <w:rPr>
                <w:b/>
                <w:bCs/>
                <w:rtl/>
              </w:rPr>
              <w:t xml:space="preserve">البوابة الثانية</w:t>
            </w:r>
          </w:p>
        </w:tc>
      </w:tr>
      <w:tr>
        <w:tc>
          <w:tcPr/>
          <w:p>
            <w:pPr>
              <w:pStyle w:val="Compact"/>
              <w:bidi/>
              <w:jc w:val="left"/>
            </w:pPr>
            <w:r>
              <w:rPr>
                <w:b/>
                <w:bCs/>
                <w:rtl/>
              </w:rPr>
              <w:t xml:space="preserve">19–24</w:t>
            </w:r>
          </w:p>
        </w:tc>
        <w:tc>
          <w:tcPr/>
          <w:p>
            <w:pPr>
              <w:pStyle w:val="Compact"/>
              <w:bidi/>
              <w:jc w:val="left"/>
            </w:pPr>
            <w:r>
              <w:rPr>
                <w:rtl/>
              </w:rPr>
              <w:t xml:space="preserve">إعادة الهيكلة؛ إخراج المعسكرات من المدن</w:t>
            </w:r>
          </w:p>
        </w:tc>
        <w:tc>
          <w:tcPr/>
          <w:p>
            <w:pPr>
              <w:pStyle w:val="Compact"/>
              <w:bidi/>
              <w:jc w:val="left"/>
            </w:pPr>
            <w:r>
              <w:rPr>
                <w:rtl/>
              </w:rPr>
              <w:t xml:space="preserve">استئناف مسار إعفاء الديون</w:t>
            </w:r>
          </w:p>
        </w:tc>
        <w:tc>
          <w:tcPr/>
          <w:p>
            <w:pPr>
              <w:pStyle w:val="Compact"/>
              <w:bidi/>
              <w:jc w:val="left"/>
            </w:pPr>
            <w:r>
              <w:rPr>
                <w:rtl/>
              </w:rPr>
              <w:t xml:space="preserve">ترسيخ الحكومات الإقليمية</w:t>
            </w:r>
          </w:p>
        </w:tc>
        <w:tc>
          <w:tcPr/>
          <w:p>
            <w:pPr>
              <w:pStyle w:val="Compact"/>
              <w:bidi/>
              <w:jc w:val="left"/>
            </w:pPr>
            <w:r>
              <w:rPr>
                <w:rtl/>
              </w:rPr>
              <w:t xml:space="preserve">التوثيق وجمع الأدلة</w:t>
            </w:r>
          </w:p>
        </w:tc>
        <w:tc>
          <w:tcPr/>
          <w:p>
            <w:pPr>
              <w:pStyle w:val="Compact"/>
              <w:bidi/>
              <w:jc w:val="left"/>
            </w:pPr>
            <w:r>
              <w:rPr>
                <w:rtl/>
              </w:rPr>
              <w:t xml:space="preserve">التجربة الرائدة للدخل الأساسي</w:t>
            </w:r>
          </w:p>
        </w:tc>
        <w:tc>
          <w:tcPr/>
          <w:p>
            <w:pPr>
              <w:pStyle w:val="Compact"/>
              <w:bidi/>
              <w:jc w:val="left"/>
            </w:pPr>
            <w:r>
              <w:rPr>
                <w:rtl/>
              </w:rPr>
              <w:t xml:space="preserve">اكتمال التعداد؛ قانون الانتخابات؛</w:t>
            </w:r>
            <w:r>
              <w:rPr>
                <w:rtl/>
              </w:rPr>
              <w:t xml:space="preserve"> </w:t>
            </w:r>
            <w:r>
              <w:rPr>
                <w:b/>
                <w:bCs/>
                <w:rtl/>
              </w:rPr>
              <w:t xml:space="preserve">البوابة الثالثة</w:t>
            </w:r>
          </w:p>
        </w:tc>
      </w:tr>
      <w:tr>
        <w:tc>
          <w:tcPr/>
          <w:p>
            <w:pPr>
              <w:pStyle w:val="Compact"/>
              <w:bidi/>
              <w:jc w:val="left"/>
            </w:pPr>
            <w:r>
              <w:rPr>
                <w:b/>
                <w:bCs/>
                <w:rtl/>
              </w:rPr>
              <w:t xml:space="preserve">25–30</w:t>
            </w:r>
          </w:p>
        </w:tc>
        <w:tc>
          <w:tcPr/>
          <w:p>
            <w:pPr>
              <w:pStyle w:val="Compact"/>
              <w:bidi/>
              <w:jc w:val="left"/>
            </w:pPr>
            <w:r>
              <w:rPr>
                <w:rtl/>
              </w:rPr>
              <w:t xml:space="preserve">استمرار إعادة الهيكلة</w:t>
            </w:r>
          </w:p>
        </w:tc>
        <w:tc>
          <w:tcPr/>
          <w:p>
            <w:pPr>
              <w:pStyle w:val="Compact"/>
              <w:bidi/>
              <w:jc w:val="left"/>
            </w:pPr>
            <w:r>
              <w:rPr>
                <w:rtl/>
              </w:rPr>
              <w:t xml:space="preserve">موازنة السنة الثالثة</w:t>
            </w:r>
          </w:p>
        </w:tc>
        <w:tc>
          <w:tcPr/>
          <w:p>
            <w:pPr>
              <w:pStyle w:val="Compact"/>
              <w:bidi/>
              <w:jc w:val="left"/>
            </w:pPr>
            <w:r>
              <w:rPr>
                <w:rtl/>
              </w:rPr>
              <w:t xml:space="preserve">تقرير الانتقال الإداري</w:t>
            </w:r>
          </w:p>
        </w:tc>
        <w:tc>
          <w:tcPr/>
          <w:p>
            <w:pPr>
              <w:pStyle w:val="Compact"/>
              <w:bidi/>
              <w:jc w:val="left"/>
            </w:pPr>
            <w:r>
              <w:rPr>
                <w:rtl/>
              </w:rPr>
              <w:t xml:space="preserve">بدء المحاكمات الأولى</w:t>
            </w:r>
          </w:p>
        </w:tc>
        <w:tc>
          <w:tcPr/>
          <w:p>
            <w:pPr>
              <w:pStyle w:val="Compact"/>
              <w:bidi/>
              <w:jc w:val="left"/>
            </w:pPr>
            <w:r>
              <w:rPr>
                <w:rtl/>
              </w:rPr>
              <w:t xml:space="preserve">عودة الخدمات في المناطق المتضررة</w:t>
            </w:r>
          </w:p>
        </w:tc>
        <w:tc>
          <w:tcPr/>
          <w:p>
            <w:pPr>
              <w:pStyle w:val="Compact"/>
              <w:bidi/>
              <w:jc w:val="left"/>
            </w:pPr>
            <w:r>
              <w:rPr>
                <w:rtl/>
              </w:rPr>
              <w:t xml:space="preserve">الاستفتاء (28،</w:t>
            </w:r>
            <w:r>
              <w:rPr>
                <w:rtl/>
              </w:rPr>
              <w:t xml:space="preserve"> </w:t>
            </w:r>
            <w:r>
              <w:rPr>
                <w:b/>
                <w:bCs/>
                <w:rtl/>
              </w:rPr>
              <w:t xml:space="preserve">البوابة الرابعة</w:t>
            </w:r>
            <w:r>
              <w:rPr>
                <w:rtl/>
              </w:rPr>
              <w:t xml:space="preserve">)؛</w:t>
            </w:r>
            <w:r>
              <w:rPr>
                <w:rtl/>
              </w:rPr>
              <w:t xml:space="preserve"> </w:t>
            </w:r>
            <w:r>
              <w:rPr>
                <w:b/>
                <w:bCs/>
                <w:rtl/>
              </w:rPr>
              <w:t xml:space="preserve">الانتخابات (30)</w:t>
            </w:r>
          </w:p>
        </w:tc>
      </w:tr>
      <w:tr>
        <w:tc>
          <w:tcPr/>
          <w:p>
            <w:pPr>
              <w:pStyle w:val="Compact"/>
              <w:bidi/>
              <w:jc w:val="left"/>
            </w:pPr>
            <w:r>
              <w:rPr>
                <w:b/>
                <w:bCs/>
                <w:rtl/>
              </w:rPr>
              <w:t xml:space="preserve">31–36</w:t>
            </w:r>
          </w:p>
        </w:tc>
        <w:tc>
          <w:tcPr/>
          <w:p>
            <w:pPr>
              <w:pStyle w:val="Compact"/>
              <w:bidi/>
              <w:jc w:val="left"/>
            </w:pPr>
            <w:r>
              <w:rPr>
                <w:rtl/>
              </w:rPr>
              <w:t xml:space="preserve">تسليم الملفات للحكومة المنتخبة</w:t>
            </w:r>
          </w:p>
        </w:tc>
        <w:tc>
          <w:tcPr/>
          <w:p>
            <w:pPr>
              <w:pStyle w:val="Compact"/>
              <w:bidi/>
              <w:jc w:val="left"/>
            </w:pPr>
            <w:r>
              <w:rPr>
                <w:rtl/>
              </w:rPr>
              <w:t xml:space="preserve">الحسابات الختامية المنشورة</w:t>
            </w:r>
          </w:p>
        </w:tc>
        <w:tc>
          <w:tcPr/>
          <w:p>
            <w:pPr>
              <w:pStyle w:val="Compact"/>
              <w:bidi/>
              <w:jc w:val="left"/>
            </w:pPr>
            <w:r>
              <w:rPr>
                <w:rtl/>
              </w:rPr>
              <w:t xml:space="preserve">تسليم الأقاليم</w:t>
            </w:r>
          </w:p>
        </w:tc>
        <w:tc>
          <w:tcPr/>
          <w:p>
            <w:pPr>
              <w:pStyle w:val="Compact"/>
              <w:bidi/>
              <w:jc w:val="left"/>
            </w:pPr>
            <w:r>
              <w:rPr>
                <w:rtl/>
              </w:rPr>
              <w:t xml:space="preserve">تقرير العدالة الانتقالية</w:t>
            </w:r>
          </w:p>
        </w:tc>
        <w:tc>
          <w:tcPr/>
          <w:p>
            <w:pPr>
              <w:pStyle w:val="Compact"/>
              <w:bidi/>
              <w:jc w:val="left"/>
            </w:pPr>
            <w:r>
              <w:rPr>
                <w:rtl/>
              </w:rPr>
              <w:t xml:space="preserve">تقرير الخدمات</w:t>
            </w:r>
          </w:p>
        </w:tc>
        <w:tc>
          <w:tcPr/>
          <w:p>
            <w:pPr>
              <w:pStyle w:val="Compact"/>
              <w:bidi/>
              <w:jc w:val="left"/>
            </w:pPr>
            <w:r>
              <w:rPr>
                <w:rtl/>
              </w:rPr>
              <w:t xml:space="preserve">تسليم السلطة؛ الحد الأقصى الاستثنائي عند الحاجة فقط</w:t>
            </w:r>
          </w:p>
        </w:tc>
      </w:tr>
    </w:tbl>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A4E38F82-BFA1-4491-A46F-C8817BD7DACE}"/>
    <w:embedBold r:id="rIdFont2" w:fontKey="{0952BFB9-FF3E-47BC-98F4-D8DBD73FAB90}"/>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