
<file path=[Content_Types].xml><?xml version="1.0" encoding="utf-8"?>
<Types xmlns="http://schemas.openxmlformats.org/package/2006/content-types">
  <Default Extension="odttf" ContentType="application/vnd.openxmlformats-officedocument.obfuscatedFont"/>
  <Default Extension="jp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verKicker"/>
        <w:bidi/>
      </w:pPr>
      <w:r>
        <w:rPr>
          <w:rtl/>
        </w:rPr>
        <w:t xml:space="preserve">عهد جديد</w:t>
      </w:r>
    </w:p>
    <w:p>
      <w:pPr>
        <w:pStyle w:val="CoverTitle"/>
        <w:bidi/>
      </w:pPr>
      <w:r>
        <w:rPr>
          <w:rtl/>
        </w:rPr>
        <w:t xml:space="preserve">مشروع قانون وزارة الإصلاح المؤسسي</w:t>
      </w:r>
    </w:p>
    <w:p>
      <w:pPr>
        <w:pStyle w:val="CoverSubtitle"/>
        <w:bidi/>
      </w:pPr>
      <w:r>
        <w:rPr>
          <w:rtl/>
        </w:rPr>
        <w:t xml:space="preserve">لسنة 2027 — المبادئ والمعايير الملزمة والحكومة الرقمية وإدارة الأداء</w:t>
      </w:r>
    </w:p>
    <w:p>
      <w:pPr>
        <w:pStyle w:val="CoverNote"/>
        <w:bidi/>
      </w:pPr>
      <w:r>
        <w:rPr>
          <w:rtl/>
        </w:rPr>
        <w:t xml:space="preserve">الإصدار الثاني، مشروع للنقاش، من الوثائق المرافقة لرؤية «عهد جديد»</w:t>
      </w:r>
    </w:p>
    <w:p>
      <w:pPr>
        <w:pStyle w:val="CoverDate"/>
        <w:bidi/>
      </w:pPr>
      <w:r>
        <w:rPr>
          <w:rtl/>
        </w:rPr>
        <w:t xml:space="preserve">سبتمبر 2026م</w:t>
      </w:r>
    </w:p>
    <w:p>
      <w:pPr>
        <w:bidi/>
      </w:pPr>
      <w:r>
        <w:rPr>
          <w:rtl/>
        </w:rPr>
        <w:br w:type="page"/>
      </w:r>
    </w:p>
    <w:bookmarkStart w:id="20" w:name="تمهيد"/>
    <w:p>
      <w:pPr>
        <w:pStyle w:val="Heading1"/>
        <w:bidi/>
      </w:pPr>
      <w:r>
        <w:rPr>
          <w:rtl/>
        </w:rPr>
        <w:t xml:space="preserve">تمهيد</w:t>
      </w:r>
    </w:p>
    <w:p>
      <w:pPr>
        <w:pStyle w:val="FirstParagraph"/>
        <w:bidi/>
      </w:pPr>
      <w:r>
        <w:rPr>
          <w:i/>
          <w:iCs/>
          <w:rtl/>
        </w:rPr>
        <w:t xml:space="preserve">(الإصدار الثاني، بعد مراجعة خارجية. مشروع قانون للنقاش.)</w:t>
      </w:r>
    </w:p>
    <w:p>
      <w:pPr>
        <w:pStyle w:val="BodyText"/>
        <w:bidi/>
      </w:pPr>
      <w:r>
        <w:rPr>
          <w:b/>
          <w:bCs/>
          <w:rtl/>
        </w:rPr>
        <w:t xml:space="preserve">ما الذي تغيّر؟</w:t>
      </w:r>
      <w:r>
        <w:rPr>
          <w:rtl/>
        </w:rPr>
        <w:t xml:space="preserve"> </w:t>
      </w:r>
      <w:r>
        <w:rPr>
          <w:rtl/>
        </w:rPr>
        <w:t xml:space="preserve">أُضيفت</w:t>
      </w:r>
      <w:r>
        <w:rPr>
          <w:rtl/>
        </w:rPr>
        <w:t xml:space="preserve"> </w:t>
      </w:r>
      <w:r>
        <w:rPr>
          <w:b/>
          <w:bCs/>
          <w:rtl/>
        </w:rPr>
        <w:t xml:space="preserve">مبادئ الإصلاح المؤسسي</w:t>
      </w:r>
      <w:r>
        <w:rPr>
          <w:rtl/>
        </w:rPr>
        <w:t xml:space="preserve">؛ و</w:t>
      </w:r>
      <w:r>
        <w:rPr>
          <w:b/>
          <w:bCs/>
          <w:rtl/>
        </w:rPr>
        <w:t xml:space="preserve">فصل كامل للحكومة الرقمية والبنية الرقمية المشتركة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التمييز بين التوصيات والمعايير الحكومية الملزمة وقرارات إعادة الهيكلة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السجل الوطني للهياكل الحكومية</w:t>
      </w:r>
      <w:r>
        <w:rPr>
          <w:rtl/>
        </w:rPr>
        <w:t xml:space="preserve">؛ و</w:t>
      </w:r>
      <w:r>
        <w:rPr>
          <w:b/>
          <w:bCs/>
          <w:rtl/>
        </w:rPr>
        <w:t xml:space="preserve">مراجعة القوانين واللوائح المنتجة للبيروقراطية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إدارة الأداء التصحيحية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خطة إدارة القوى العاملة</w:t>
      </w:r>
      <w:r>
        <w:rPr>
          <w:rtl/>
        </w:rPr>
        <w:t xml:space="preserve">؛ و</w:t>
      </w:r>
      <w:r>
        <w:rPr>
          <w:b/>
          <w:bCs/>
          <w:rtl/>
        </w:rPr>
        <w:t xml:space="preserve">مبدأ لا جهاز جديد دون ضرورة مثبتة</w:t>
      </w:r>
      <w:r>
        <w:rPr>
          <w:rtl/>
        </w:rPr>
        <w:t xml:space="preserve">؛ و</w:t>
      </w:r>
      <w:r>
        <w:rPr>
          <w:b/>
          <w:bCs/>
          <w:rtl/>
        </w:rPr>
        <w:t xml:space="preserve">مبدأ الصمت الإداري بضوابطه</w:t>
      </w:r>
      <w:r>
        <w:rPr>
          <w:rtl/>
        </w:rPr>
        <w:t xml:space="preserve">؛ وأُعيد تعريف هدف الرقمنة، وضُبطت حدود الاختصاص والبيانات الحساسة، وشُدِّد شرط انتهاء الوزارة.</w:t>
      </w:r>
    </w:p>
    <w:p>
      <w:pPr>
        <w:bidi/>
      </w:pPr>
      <w:r>
        <w:rPr>
          <w:rtl/>
        </w:rPr>
        <w:br w:type="page"/>
      </w:r>
    </w:p>
    <w:bookmarkEnd w:id="20"/>
    <w:bookmarkStart w:id="21" w:name="الفصل-الأول-الإنشاء-والمبادئ"/>
    <w:p>
      <w:pPr>
        <w:pStyle w:val="Heading1"/>
        <w:bidi/>
      </w:pPr>
      <w:r>
        <w:rPr>
          <w:rtl/>
        </w:rPr>
        <w:t xml:space="preserve">الفصل الأول: الإنشاء والمبادئ</w:t>
      </w:r>
    </w:p>
    <w:p>
      <w:pPr>
        <w:pStyle w:val="FirstParagraph"/>
        <w:bidi/>
      </w:pPr>
      <w:r>
        <w:rPr>
          <w:b/>
          <w:bCs/>
          <w:rtl/>
        </w:rPr>
        <w:t xml:space="preserve">المادة (1): اسم القانون.</w:t>
      </w:r>
      <w:r>
        <w:rPr>
          <w:rtl/>
        </w:rPr>
        <w:t xml:space="preserve"> </w:t>
      </w:r>
      <w:r>
        <w:rPr>
          <w:rtl/>
        </w:rPr>
        <w:t xml:space="preserve">«قانون وزارة الإصلاح المؤسسي لسنة 2027».</w:t>
      </w:r>
    </w:p>
    <w:p>
      <w:pPr>
        <w:pStyle w:val="BodyText"/>
        <w:bidi/>
      </w:pPr>
      <w:r>
        <w:rPr>
          <w:b/>
          <w:bCs/>
          <w:rtl/>
        </w:rPr>
        <w:t xml:space="preserve">المادة (2): الإنشاء.</w:t>
      </w:r>
      <w:r>
        <w:rPr>
          <w:rtl/>
        </w:rPr>
        <w:t xml:space="preserve"> </w:t>
      </w:r>
      <w:r>
        <w:rPr>
          <w:rtl/>
        </w:rPr>
        <w:t xml:space="preserve">تُنشأ وزارة الإصلاح المؤسسي،</w:t>
      </w:r>
      <w:r>
        <w:rPr>
          <w:rtl/>
        </w:rPr>
        <w:t xml:space="preserve"> </w:t>
      </w:r>
      <w:r>
        <w:rPr>
          <w:b/>
          <w:bCs/>
          <w:rtl/>
        </w:rPr>
        <w:t xml:space="preserve">وترتبط مباشرة برئيس مجلس الوزراء</w:t>
      </w:r>
      <w:r>
        <w:rPr>
          <w:rtl/>
        </w:rPr>
        <w:t xml:space="preserve">.</w:t>
      </w:r>
    </w:p>
    <w:p>
      <w:pPr>
        <w:pStyle w:val="BodyText"/>
        <w:bidi/>
      </w:pPr>
      <w:r>
        <w:rPr>
          <w:b/>
          <w:bCs/>
          <w:rtl/>
        </w:rPr>
        <w:t xml:space="preserve">المادة (3): مبادئ الإصلاح المؤسسي.</w:t>
      </w:r>
      <w:r>
        <w:rPr>
          <w:rtl/>
        </w:rPr>
        <w:t xml:space="preserve"> </w:t>
      </w:r>
      <w:r>
        <w:rPr>
          <w:rtl/>
        </w:rPr>
        <w:t xml:space="preserve">تلتزم الوزارة وكل الجهات الخاضعة لهذا القانون بالمبادئ الآتية:</w:t>
      </w:r>
      <w:r>
        <w:rPr>
          <w:rtl/>
        </w:rPr>
        <w:t xml:space="preserve"> </w:t>
      </w:r>
      <w:r>
        <w:rPr>
          <w:b/>
          <w:bCs/>
          <w:rtl/>
        </w:rPr>
        <w:t xml:space="preserve">الكفاءة؛ والبساطة؛ والتركيز على المواطن؛ والشفافية؛ والمساءلة؛ واللامركزية؛ والرقمنة الشاملة غير المقصية؛ والحياد السياسي والمهنية.</w:t>
      </w:r>
      <w:r>
        <w:rPr>
          <w:rtl/>
        </w:rPr>
        <w:t xml:space="preserve"> </w:t>
      </w:r>
      <w:r>
        <w:rPr>
          <w:b/>
          <w:bCs/>
          <w:rtl/>
        </w:rPr>
        <w:t xml:space="preserve">وتلتزم الوزارة بعدم التدخل في التعيينات على أساس الولاء السياسي، ولا يجوز استخدام الإصلاح المؤسسي أداةً لإعادة توزيع النفوذ داخل الدولة.</w:t>
      </w:r>
    </w:p>
    <w:p>
      <w:pPr>
        <w:pStyle w:val="BodyText"/>
        <w:bidi/>
      </w:pPr>
      <w:r>
        <w:rPr>
          <w:b/>
          <w:bCs/>
          <w:rtl/>
        </w:rPr>
        <w:t xml:space="preserve">المادة (4): الولاية.</w:t>
      </w:r>
      <w:r>
        <w:rPr>
          <w:rtl/>
        </w:rPr>
        <w:t xml:space="preserve"> </w:t>
      </w:r>
      <w:r>
        <w:rPr>
          <w:rtl/>
        </w:rPr>
        <w:t xml:space="preserve">إعادة تصميم أجهزة الدولة لتكون أصغر وأكفأ وأقل عرضة للفساد،</w:t>
      </w:r>
      <w:r>
        <w:rPr>
          <w:rtl/>
        </w:rPr>
        <w:t xml:space="preserve"> </w:t>
      </w:r>
      <w:r>
        <w:rPr>
          <w:b/>
          <w:bCs/>
          <w:rtl/>
        </w:rPr>
        <w:t xml:space="preserve">وتُعنى بالإجراءات والهياكل والنظم، لا بمحتوى السياسات القطاعية.</w:t>
      </w:r>
    </w:p>
    <w:p>
      <w:pPr>
        <w:bidi/>
      </w:pPr>
      <w:r>
        <w:rPr>
          <w:rtl/>
        </w:rPr>
        <w:br w:type="page"/>
      </w:r>
    </w:p>
    <w:bookmarkEnd w:id="21"/>
    <w:bookmarkStart w:id="22" w:name="الفصل-الثاني-الاختصاصات-وطبيعة-القرارات"/>
    <w:p>
      <w:pPr>
        <w:pStyle w:val="Heading1"/>
        <w:bidi/>
      </w:pPr>
      <w:r>
        <w:rPr>
          <w:rtl/>
        </w:rPr>
        <w:t xml:space="preserve">الفصل الثاني: الاختصاصات وطبيعة القرارات</w:t>
      </w:r>
    </w:p>
    <w:p>
      <w:pPr>
        <w:pStyle w:val="FirstParagraph"/>
        <w:bidi/>
      </w:pPr>
      <w:r>
        <w:rPr>
          <w:b/>
          <w:bCs/>
          <w:rtl/>
        </w:rPr>
        <w:t xml:space="preserve">المادة (5): الاختصاصات.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مراجعة هياكل</w:t>
      </w:r>
      <w:r>
        <w:rPr>
          <w:rtl/>
        </w:rPr>
        <w:t xml:space="preserve"> </w:t>
      </w:r>
      <w:r>
        <w:rPr>
          <w:rtl/>
        </w:rPr>
        <w:t xml:space="preserve">الوزارات والهيئات، والتوصية بالدمج أو الإلغاء أو إعادة التصميم.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مراجعة هياكل الشركات العامة والجهات الحكومية المالكة لها</w:t>
      </w:r>
      <w:r>
        <w:rPr>
          <w:rtl/>
        </w:rPr>
        <w:t xml:space="preserve">، ورفع توصيات بالدمج أو إعادة الهيكلة أو التصفية أو الإلغاء</w:t>
      </w:r>
      <w:r>
        <w:rPr>
          <w:rtl/>
        </w:rPr>
        <w:t xml:space="preserve"> </w:t>
      </w:r>
      <w:r>
        <w:rPr>
          <w:b/>
          <w:bCs/>
          <w:rtl/>
        </w:rPr>
        <w:t xml:space="preserve">إلى الجهة المختصة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تبسيط الإجراءات</w:t>
      </w:r>
      <w:r>
        <w:rPr>
          <w:rtl/>
        </w:rPr>
        <w:t xml:space="preserve"> </w:t>
      </w:r>
      <w:r>
        <w:rPr>
          <w:rtl/>
        </w:rPr>
        <w:t xml:space="preserve">وإعادة هندستها، وإلغاء التراخيص والموافقات غير الضرورية.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مراجعة القوانين واللوائح المنتجة للأعباء الإدارية</w:t>
      </w:r>
      <w:r>
        <w:rPr>
          <w:rtl/>
        </w:rPr>
        <w:t xml:space="preserve">، واقتراح تعديلها أو إلغائها،</w:t>
      </w:r>
      <w:r>
        <w:rPr>
          <w:rtl/>
        </w:rPr>
        <w:t xml:space="preserve"> </w:t>
      </w:r>
      <w:r>
        <w:rPr>
          <w:b/>
          <w:bCs/>
          <w:rtl/>
        </w:rPr>
        <w:t xml:space="preserve">وقياس كلفة الامتثال</w:t>
      </w:r>
      <w:r>
        <w:rPr>
          <w:rtl/>
        </w:rPr>
        <w:t xml:space="preserve"> </w:t>
      </w:r>
      <w:r>
        <w:rPr>
          <w:rtl/>
        </w:rPr>
        <w:t xml:space="preserve">قبل اقتراح أي إجراء جديد.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سد ثغرات الفساد الإداري</w:t>
      </w:r>
      <w:r>
        <w:rPr>
          <w:rtl/>
        </w:rPr>
        <w:t xml:space="preserve"> </w:t>
      </w:r>
      <w:r>
        <w:rPr>
          <w:rtl/>
        </w:rPr>
        <w:t xml:space="preserve">بالتنسيق مع المكتب المركزي لمكافحة الفساد.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قيادة الحكومة الرقمية</w:t>
      </w:r>
      <w:r>
        <w:rPr>
          <w:rtl/>
        </w:rPr>
        <w:t xml:space="preserve"> </w:t>
      </w:r>
      <w:r>
        <w:rPr>
          <w:rtl/>
        </w:rPr>
        <w:t xml:space="preserve">وفق الفصل الثالث.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إدارة الأداء</w:t>
      </w:r>
      <w:r>
        <w:rPr>
          <w:rtl/>
        </w:rPr>
        <w:t xml:space="preserve"> </w:t>
      </w:r>
      <w:r>
        <w:rPr>
          <w:rtl/>
        </w:rPr>
        <w:t xml:space="preserve">وفق الفصل الرابع.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مراجعة كفاءة الإنفاق الإداري واستخدام الأصول العامة</w:t>
      </w:r>
      <w:r>
        <w:rPr>
          <w:rtl/>
        </w:rPr>
        <w:t xml:space="preserve"> </w:t>
      </w:r>
      <w:r>
        <w:rPr>
          <w:rtl/>
        </w:rPr>
        <w:t xml:space="preserve">(المركبات والمباني والبعثات والمخصصات)،</w:t>
      </w:r>
      <w:r>
        <w:rPr>
          <w:rtl/>
        </w:rPr>
        <w:t xml:space="preserve"> </w:t>
      </w:r>
      <w:r>
        <w:rPr>
          <w:b/>
          <w:bCs/>
          <w:rtl/>
        </w:rPr>
        <w:t xml:space="preserve">دون المساس باختصاصات وزارة المالية أو ديوان المراجعة العام.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إنشاء السجل الوطني للهياكل الحكومية</w:t>
      </w:r>
      <w:r>
        <w:rPr>
          <w:rtl/>
        </w:rPr>
        <w:t xml:space="preserve"> </w:t>
      </w:r>
      <w:r>
        <w:rPr>
          <w:rtl/>
        </w:rPr>
        <w:t xml:space="preserve">وفق المادة (9).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إعداد مشروع قانون هيكل الجهاز التنفيذي الدائم</w:t>
      </w:r>
      <w:r>
        <w:rPr>
          <w:rtl/>
        </w:rPr>
        <w:t xml:space="preserve"> </w:t>
      </w:r>
      <w:r>
        <w:rPr>
          <w:rtl/>
        </w:rPr>
        <w:t xml:space="preserve">خلال ثمانية عشر شهراً.</w:t>
      </w:r>
    </w:p>
    <w:p>
      <w:pPr>
        <w:pStyle w:val="FirstParagraph"/>
        <w:bidi/>
      </w:pPr>
      <w:r>
        <w:rPr>
          <w:b/>
          <w:bCs/>
          <w:rtl/>
        </w:rPr>
        <w:t xml:space="preserve">المادة (6): أنواع قرارات الوزارة.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النوع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القوة القانونية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توصيات فنية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غير ملزمة</w:t>
            </w:r>
            <w:r>
              <w:rPr>
                <w:rtl/>
              </w:rPr>
              <w:t xml:space="preserve">، وعلى الجهة الرد خلال ستين يوماً بالتنفيذ أو برفض مسبب يُنشر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معايير حكومية موحدة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(تصميم الخدمات، والحكومة الرقمية، وتبادل البيانات، وإدارة الأداء، والإجراءات)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ملزمة لكل الجهاز التنفيذي بعد اعتمادها بقرار من مجلس الوزراء ونشرها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قرارات إعادة الهيكلة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 اختصاص مجلس الوزراء أو السلطة المختصة وفق الدستور</w:t>
            </w:r>
            <w:r>
              <w:rPr>
                <w:rtl/>
              </w:rPr>
              <w:t xml:space="preserve">، بناءً على توصية الوزارة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المادة (7): حدود الاختصاص.</w:t>
      </w:r>
      <w:r>
        <w:rPr>
          <w:rtl/>
        </w:rPr>
        <w:t xml:space="preserve"> </w:t>
      </w:r>
      <w:r>
        <w:rPr>
          <w:b/>
          <w:bCs/>
          <w:rtl/>
        </w:rPr>
        <w:t xml:space="preserve">لا تحل الوزارة محل:</w:t>
      </w:r>
      <w:r>
        <w:rPr>
          <w:rtl/>
        </w:rPr>
        <w:t xml:space="preserve"> </w:t>
      </w:r>
      <w:r>
        <w:rPr>
          <w:rtl/>
        </w:rPr>
        <w:t xml:space="preserve">مفوضية إصلاح الخدمة المدنية في التعيين والترقي والأجور؛ ولا ديوان المراجعة العام في التدقيق؛ ولا المكتب المركزي لمكافحة الفساد في التحري؛ ولا وزارة المالية في إدارة المال العام.</w:t>
      </w:r>
      <w:r>
        <w:rPr>
          <w:rtl/>
        </w:rPr>
        <w:t xml:space="preserve"> </w:t>
      </w:r>
      <w:r>
        <w:rPr>
          <w:b/>
          <w:bCs/>
          <w:rtl/>
        </w:rPr>
        <w:t xml:space="preserve">وتحدد اللائحة التنفيذية، وفقاً للقانون، مجالات التنسيق وتبادل المعلومات وآليات فض التعارض</w:t>
      </w:r>
      <w:r>
        <w:rPr>
          <w:rtl/>
        </w:rPr>
        <w:t xml:space="preserve">، ويجوز إصدار مذكرات تفاهم منشورة أداةً تنفيذية، وتُحسم الخلافات في مجلس الوزراء.</w:t>
      </w:r>
    </w:p>
    <w:p>
      <w:pPr>
        <w:pStyle w:val="BodyText"/>
        <w:bidi/>
      </w:pPr>
      <w:r>
        <w:rPr>
          <w:b/>
          <w:bCs/>
          <w:rtl/>
        </w:rPr>
        <w:t xml:space="preserve">المادة (8): المعلومات والبيانات الحساسة.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تلتزم كل جهة عامة بتزويد الوزارة بالبيانات والهياكل والإجراءات المطلوبة خلال ثلاثين يوماً، ويُعد الامتناع مخالفة تُبلَّغ إلى مجلس الوزراء وتُدرج في التقرير الفصلي.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يُستثنى ما يخضع للسرية الأمنية، أو حماية البيانات الشخصية، أو سرية التحقيقات، أو الأسرار التجارية المشروعة</w:t>
      </w:r>
      <w:r>
        <w:rPr>
          <w:rtl/>
        </w:rPr>
        <w:t xml:space="preserve">، ويُطلب الاطلاع عليه بقرار مسبب ووفق القانون المنظم له.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تحدد اللائحة ملكية البيانات وحقوق الوصول وقواعد التخزين والنقل والمسؤولية عن التسريب.</w:t>
      </w:r>
    </w:p>
    <w:p>
      <w:pPr>
        <w:pStyle w:val="FirstParagraph"/>
        <w:bidi/>
      </w:pPr>
      <w:r>
        <w:rPr>
          <w:b/>
          <w:bCs/>
          <w:rtl/>
        </w:rPr>
        <w:t xml:space="preserve">المادة (9): السجل الوطني للهياكل الحكومية.</w:t>
      </w:r>
      <w:r>
        <w:rPr>
          <w:rtl/>
        </w:rPr>
        <w:t xml:space="preserve"> </w:t>
      </w:r>
      <w:r>
        <w:rPr>
          <w:rtl/>
        </w:rPr>
        <w:t xml:space="preserve">يتضمن لكل جهة: الاسم؛ والأساس القانوني؛ والاختصاص؛ والهيكل؛ وعدد العاملين؛ والموازنة؛ والوحدات والشركات التابعة؛ والخدمات؛ والمؤشرات؛ وبيانات الاتصال.</w:t>
      </w:r>
      <w:r>
        <w:rPr>
          <w:rtl/>
        </w:rPr>
        <w:t xml:space="preserve"> </w:t>
      </w:r>
      <w:r>
        <w:rPr>
          <w:b/>
          <w:bCs/>
          <w:rtl/>
        </w:rPr>
        <w:t xml:space="preserve">ويكون مفتوحاً للجمهور في الحدود التي يجيزها القانون.</w:t>
      </w:r>
    </w:p>
    <w:p>
      <w:pPr>
        <w:pStyle w:val="BodyText"/>
        <w:bidi/>
      </w:pPr>
      <w:r>
        <w:rPr>
          <w:b/>
          <w:bCs/>
          <w:rtl/>
        </w:rPr>
        <w:t xml:space="preserve">المادة (10): مبدأ لا جهاز جديد دون ضرورة مثبتة.</w:t>
      </w:r>
      <w:r>
        <w:rPr>
          <w:rtl/>
        </w:rPr>
        <w:t xml:space="preserve"> </w:t>
      </w:r>
      <w:r>
        <w:rPr>
          <w:b/>
          <w:bCs/>
          <w:rtl/>
        </w:rPr>
        <w:t xml:space="preserve">تلتزم الوزارة والجهات كافة بعدم إنشاء وحدة أو هيئة أو إدارة عامة جديدة إلا بعد إثبات تعذر أداء الاختصاص من خلال الهيكل القائم</w:t>
      </w:r>
      <w:r>
        <w:rPr>
          <w:rtl/>
        </w:rPr>
        <w:t xml:space="preserve">، ويُرفق بكل مقترح إنشاء تقرير أثر مالي وإداري منشور.</w:t>
      </w:r>
    </w:p>
    <w:p>
      <w:pPr>
        <w:bidi/>
      </w:pPr>
      <w:r>
        <w:rPr>
          <w:rtl/>
        </w:rPr>
        <w:br w:type="page"/>
      </w:r>
    </w:p>
    <w:bookmarkEnd w:id="22"/>
    <w:bookmarkStart w:id="23" w:name="الفصل-الثالث-الحكومة-الرقمية"/>
    <w:p>
      <w:pPr>
        <w:pStyle w:val="Heading1"/>
        <w:bidi/>
      </w:pPr>
      <w:r>
        <w:rPr>
          <w:rtl/>
        </w:rPr>
        <w:t xml:space="preserve">الفصل الثالث: الحكومة الرقمية</w:t>
      </w:r>
    </w:p>
    <w:p>
      <w:pPr>
        <w:pStyle w:val="FirstParagraph"/>
        <w:bidi/>
      </w:pPr>
      <w:r>
        <w:rPr>
          <w:b/>
          <w:bCs/>
          <w:rtl/>
        </w:rPr>
        <w:t xml:space="preserve">المادة (11): البنية الرقمية المشتركة.</w:t>
      </w:r>
      <w:r>
        <w:rPr>
          <w:rtl/>
        </w:rPr>
        <w:t xml:space="preserve"> </w:t>
      </w:r>
      <w:r>
        <w:rPr>
          <w:rtl/>
        </w:rPr>
        <w:t xml:space="preserve">تقود الوزارة، بالتنسيق مع الجهات المختصة، بناء البنية الرقمية الحكومية المشتركة، وتشمل:</w:t>
      </w:r>
      <w:r>
        <w:rPr>
          <w:rtl/>
        </w:rPr>
        <w:t xml:space="preserve"> </w:t>
      </w:r>
      <w:r>
        <w:rPr>
          <w:b/>
          <w:bCs/>
          <w:rtl/>
        </w:rPr>
        <w:t xml:space="preserve">البوابة الحكومية الموحدة؛ والهوية الرقمية؛ ونظام الدخول الموحد؛ وقابلية التشغيل البيني بين قواعد البيانات؛ والسجلات الحكومية الأساسية؛ والتوقيع الرقمي؛ والدفع الإلكتروني الحكومي؛ ومعايير أمن المعلومات؛ وحماية البيانات الشخصية.</w:t>
      </w:r>
    </w:p>
    <w:p>
      <w:pPr>
        <w:pStyle w:val="BodyText"/>
        <w:bidi/>
      </w:pPr>
      <w:r>
        <w:rPr>
          <w:b/>
          <w:bCs/>
          <w:rtl/>
        </w:rPr>
        <w:t xml:space="preserve">المادة (12): مبدأ «مرة واحدة».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يجوز مطالبة المواطن ببيانات أو مستندات تملكها جهة حكومية أخرى</w:t>
      </w:r>
      <w:r>
        <w:rPr>
          <w:rtl/>
        </w:rPr>
        <w:t xml:space="preserve">، وتتبادل الجهات البيانات بينها وفق معايير التشغيل البيني وقانون حماية البيانات.</w:t>
      </w:r>
    </w:p>
    <w:p>
      <w:pPr>
        <w:pStyle w:val="BodyText"/>
        <w:bidi/>
      </w:pPr>
      <w:r>
        <w:rPr>
          <w:b/>
          <w:bCs/>
          <w:rtl/>
        </w:rPr>
        <w:t xml:space="preserve">المادة (13): منع الإقصاء الرقمي.</w:t>
      </w:r>
      <w:r>
        <w:rPr>
          <w:rtl/>
        </w:rPr>
        <w:t xml:space="preserve"> </w:t>
      </w:r>
      <w:r>
        <w:rPr>
          <w:b/>
          <w:bCs/>
          <w:rtl/>
        </w:rPr>
        <w:t xml:space="preserve">تُوفَّر لكل خدمة رقمية قناة بديلة للأشخاص غير القادرين على استخدامها</w:t>
      </w:r>
      <w:r>
        <w:rPr>
          <w:rtl/>
        </w:rPr>
        <w:t xml:space="preserve">، ومراكز خدمة مجتمعية ومساعدة،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يجوز أن يترتب على الرقمنة حرمان مواطن من خدمة.</w:t>
      </w:r>
    </w:p>
    <w:p>
      <w:pPr>
        <w:pStyle w:val="BodyText"/>
        <w:bidi/>
      </w:pPr>
      <w:r>
        <w:rPr>
          <w:b/>
          <w:bCs/>
          <w:rtl/>
        </w:rPr>
        <w:t xml:space="preserve">المادة (14): هدف الرقمنة.</w:t>
      </w:r>
      <w:r>
        <w:rPr>
          <w:rtl/>
        </w:rPr>
        <w:t xml:space="preserve"> </w:t>
      </w:r>
      <w:r>
        <w:rPr>
          <w:b/>
          <w:bCs/>
          <w:rtl/>
        </w:rPr>
        <w:t xml:space="preserve">رقمنة ما لا يقل عن 40% من الخدمات الحكومية ذات الأولوية بنهاية الفترة الانتقالية، وفق قائمة وطنية معتمدة ومنشورة، ويُقاس الإنجاز بنسبة المعاملات المنجزة رقمياً فعلاً لا بمجرد إتاحة الخدمة.</w:t>
      </w:r>
    </w:p>
    <w:p>
      <w:pPr>
        <w:pStyle w:val="BodyText"/>
        <w:bidi/>
      </w:pPr>
      <w:r>
        <w:rPr>
          <w:b/>
          <w:bCs/>
          <w:rtl/>
        </w:rPr>
        <w:t xml:space="preserve">المادة (15): الصمت الإداري.</w:t>
      </w:r>
      <w:r>
        <w:rPr>
          <w:rtl/>
        </w:rPr>
        <w:t xml:space="preserve"> </w:t>
      </w:r>
      <w:r>
        <w:rPr>
          <w:b/>
          <w:bCs/>
          <w:rtl/>
        </w:rPr>
        <w:t xml:space="preserve">تحدد اللوائح آجال البت في طلبات المواطنين، ويترتب على انقضاء الأجل دون قرار، بحسب طبيعة الخدمة وما يحدده القانون، قبول الطلب أو اعتباره مرفوضاً مع وجوب بيان الأسباب.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يسري القبول التلقائي على الخدمات المتصلة بالأمن والصحة والبيئة والتراخيص عالية المخاطر</w:t>
      </w:r>
      <w:r>
        <w:rPr>
          <w:rtl/>
        </w:rPr>
        <w:t xml:space="preserve">، وتُنشر قائمة بها.</w:t>
      </w:r>
    </w:p>
    <w:p>
      <w:pPr>
        <w:bidi/>
      </w:pPr>
      <w:r>
        <w:rPr>
          <w:rtl/>
        </w:rPr>
        <w:br w:type="page"/>
      </w:r>
    </w:p>
    <w:bookmarkEnd w:id="23"/>
    <w:bookmarkStart w:id="24" w:name="الفصل-الرابع-إدارة-الأداء"/>
    <w:p>
      <w:pPr>
        <w:pStyle w:val="Heading1"/>
        <w:bidi/>
      </w:pPr>
      <w:r>
        <w:rPr>
          <w:rtl/>
        </w:rPr>
        <w:t xml:space="preserve">الفصل الرابع: إدارة الأداء</w:t>
      </w:r>
    </w:p>
    <w:p>
      <w:pPr>
        <w:pStyle w:val="FirstParagraph"/>
        <w:bidi/>
      </w:pPr>
      <w:r>
        <w:rPr>
          <w:b/>
          <w:bCs/>
          <w:rtl/>
        </w:rPr>
        <w:t xml:space="preserve">المادة (16): المؤشرات.</w:t>
      </w:r>
      <w:r>
        <w:rPr>
          <w:rtl/>
        </w:rPr>
        <w:t xml:space="preserve"> </w:t>
      </w:r>
      <w:r>
        <w:rPr>
          <w:rtl/>
        </w:rPr>
        <w:t xml:space="preserve">تضع الوزارة مع كل جهة</w:t>
      </w:r>
      <w:r>
        <w:rPr>
          <w:rtl/>
        </w:rPr>
        <w:t xml:space="preserve"> </w:t>
      </w:r>
      <w:r>
        <w:rPr>
          <w:b/>
          <w:bCs/>
          <w:rtl/>
        </w:rPr>
        <w:t xml:space="preserve">مؤشرات قليلة قابلة للقياس مرتبطة بالنتائج ومنشورة وقابلة للمقارنة زمنياً</w:t>
      </w:r>
      <w:r>
        <w:rPr>
          <w:rtl/>
        </w:rPr>
        <w:t xml:space="preserve">، وتُتاح في لوحة متابعة علنية.</w:t>
      </w:r>
    </w:p>
    <w:p>
      <w:pPr>
        <w:pStyle w:val="BodyText"/>
        <w:bidi/>
      </w:pPr>
      <w:r>
        <w:rPr>
          <w:b/>
          <w:bCs/>
          <w:rtl/>
        </w:rPr>
        <w:t xml:space="preserve">المادة (17): الإدارة التصحيحية.</w:t>
      </w:r>
      <w:r>
        <w:rPr>
          <w:rtl/>
        </w:rPr>
        <w:t xml:space="preserve"> </w:t>
      </w:r>
      <w:r>
        <w:rPr>
          <w:b/>
          <w:bCs/>
          <w:rtl/>
        </w:rPr>
        <w:t xml:space="preserve">تتضمن تقارير الأداء إجراءات تصحيحية ومواعيد لتنفيذها. ولمجلس الوزراء، بناءً على تقرير الوزارة، إلزام الجهة المعنية بخطة تصحيحية</w:t>
      </w:r>
      <w:r>
        <w:rPr>
          <w:rtl/>
        </w:rPr>
        <w:t xml:space="preserve">، ويُدرج الإخفاق المتكرر في التقرير السنوي المرفوع إلى السلطة التشريعية.</w:t>
      </w:r>
    </w:p>
    <w:p>
      <w:pPr>
        <w:bidi/>
      </w:pPr>
      <w:r>
        <w:rPr>
          <w:rtl/>
        </w:rPr>
        <w:br w:type="page"/>
      </w:r>
    </w:p>
    <w:bookmarkEnd w:id="24"/>
    <w:bookmarkStart w:id="25" w:name="الفصل-الخامس-العاملون"/>
    <w:p>
      <w:pPr>
        <w:pStyle w:val="Heading1"/>
        <w:bidi/>
      </w:pPr>
      <w:r>
        <w:rPr>
          <w:rtl/>
        </w:rPr>
        <w:t xml:space="preserve">الفصل الخامس: العاملون</w:t>
      </w:r>
    </w:p>
    <w:p>
      <w:pPr>
        <w:pStyle w:val="FirstParagraph"/>
        <w:bidi/>
      </w:pPr>
      <w:r>
        <w:rPr>
          <w:b/>
          <w:bCs/>
          <w:rtl/>
        </w:rPr>
        <w:t xml:space="preserve">المادة (18): خطة إدارة القوى العاملة.</w:t>
      </w:r>
      <w:r>
        <w:rPr>
          <w:rtl/>
        </w:rPr>
        <w:t xml:space="preserve"> </w:t>
      </w:r>
      <w:r>
        <w:rPr>
          <w:b/>
          <w:bCs/>
          <w:rtl/>
        </w:rPr>
        <w:t xml:space="preserve">يسبق كل إعادة هيكلة كبرى إعداد خطة منشورة</w:t>
      </w:r>
      <w:r>
        <w:rPr>
          <w:rtl/>
        </w:rPr>
        <w:t xml:space="preserve"> </w:t>
      </w:r>
      <w:r>
        <w:rPr>
          <w:rtl/>
        </w:rPr>
        <w:t xml:space="preserve">تتضمن: الوظائف الحالية والمطلوبة؛ والوظائف المتكررة؛ والمهارات؛ وإعادة التوزيع؛ وإعادة التدريب؛ والتقاعد الاختياري؛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والكلفة المالية.</w:t>
      </w:r>
    </w:p>
    <w:p>
      <w:pPr>
        <w:pStyle w:val="BodyText"/>
        <w:bidi/>
      </w:pPr>
      <w:r>
        <w:rPr>
          <w:b/>
          <w:bCs/>
          <w:rtl/>
        </w:rPr>
        <w:t xml:space="preserve">المادة (19): تعريف إعادة الهيكلة الكبرى.</w:t>
      </w:r>
      <w:r>
        <w:rPr>
          <w:rtl/>
        </w:rPr>
        <w:t xml:space="preserve"> </w:t>
      </w:r>
      <w:r>
        <w:rPr>
          <w:b/>
          <w:bCs/>
          <w:rtl/>
        </w:rPr>
        <w:t xml:space="preserve">كل إصلاح يترتب عليه دمج أو إلغاء وحدة حكومية، أو تغيير جوهري في توزيع الاختصاصات، أو أثر على أكثر من 10% من وظائف الجهة.</w:t>
      </w:r>
    </w:p>
    <w:p>
      <w:pPr>
        <w:pStyle w:val="BodyText"/>
        <w:bidi/>
      </w:pPr>
      <w:r>
        <w:rPr>
          <w:b/>
          <w:bCs/>
          <w:rtl/>
        </w:rPr>
        <w:t xml:space="preserve">المادة (20): التشاور.</w:t>
      </w:r>
      <w:r>
        <w:rPr>
          <w:rtl/>
        </w:rPr>
        <w:t xml:space="preserve"> </w:t>
      </w:r>
      <w:r>
        <w:rPr>
          <w:rtl/>
        </w:rPr>
        <w:t xml:space="preserve">تشاور الوزارة العاملين والمستفيدين والنقابات قبل أي إعادة هيكلة كبرى،</w:t>
      </w:r>
      <w:r>
        <w:rPr>
          <w:rtl/>
        </w:rPr>
        <w:t xml:space="preserve"> </w:t>
      </w:r>
      <w:r>
        <w:rPr>
          <w:b/>
          <w:bCs/>
          <w:rtl/>
        </w:rPr>
        <w:t xml:space="preserve">بمدة لا تقل عن ثلاثين يوماً</w:t>
      </w:r>
      <w:r>
        <w:rPr>
          <w:rtl/>
        </w:rPr>
        <w:t xml:space="preserve">، وتنشر تقييم الأثر على الوظائف والخدمات.</w:t>
      </w:r>
    </w:p>
    <w:p>
      <w:pPr>
        <w:pStyle w:val="BodyText"/>
        <w:bidi/>
      </w:pPr>
      <w:r>
        <w:rPr>
          <w:b/>
          <w:bCs/>
          <w:rtl/>
        </w:rPr>
        <w:t xml:space="preserve">المادة (21): حماية العاملين.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يجوز أن تؤدي إعادة الهيكلة إلى فصل تعسفي</w:t>
      </w:r>
      <w:r>
        <w:rPr>
          <w:rtl/>
        </w:rPr>
        <w:t xml:space="preserve">، ويُعالج الفائض بإعادة التدريب والنقل والتقاعد الاختياري بحقوق كاملة،</w:t>
      </w:r>
      <w:r>
        <w:rPr>
          <w:rtl/>
        </w:rPr>
        <w:t xml:space="preserve"> </w:t>
      </w:r>
      <w:r>
        <w:rPr>
          <w:b/>
          <w:bCs/>
          <w:rtl/>
        </w:rPr>
        <w:t xml:space="preserve">ولكل متضرر التظلم أمام لجنة مستقلة ثم القضاء.</w:t>
      </w:r>
    </w:p>
    <w:p>
      <w:pPr>
        <w:bidi/>
      </w:pPr>
      <w:r>
        <w:rPr>
          <w:rtl/>
        </w:rPr>
        <w:br w:type="page"/>
      </w:r>
    </w:p>
    <w:bookmarkEnd w:id="25"/>
    <w:bookmarkStart w:id="26" w:name="Xef1b00026f61433470b520295570551486bb2c6"/>
    <w:p>
      <w:pPr>
        <w:pStyle w:val="Heading1"/>
        <w:bidi/>
      </w:pPr>
      <w:r>
        <w:rPr>
          <w:rtl/>
        </w:rPr>
        <w:t xml:space="preserve">الفصل السادس: الشفافية والمساءلة والانتهاء</w:t>
      </w:r>
    </w:p>
    <w:p>
      <w:pPr>
        <w:pStyle w:val="FirstParagraph"/>
        <w:bidi/>
      </w:pPr>
      <w:r>
        <w:rPr>
          <w:b/>
          <w:bCs/>
          <w:rtl/>
        </w:rPr>
        <w:t xml:space="preserve">المادة (22): النشر.</w:t>
      </w:r>
      <w:r>
        <w:rPr>
          <w:rtl/>
        </w:rPr>
        <w:t xml:space="preserve"> </w:t>
      </w:r>
      <w:r>
        <w:rPr>
          <w:rtl/>
        </w:rPr>
        <w:t xml:space="preserve">تنشر الوزارة: تقاريرها الفصلية؛ ولوحة الأداء؛ ونتائج مراجعة الهياكل؛ وتقارير كفاءة الإنفاق الإداري؛ وقوائم الإجراءات والتراخيص الملغاة؛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والسجل الوطني للهياكل.</w:t>
      </w:r>
    </w:p>
    <w:p>
      <w:pPr>
        <w:pStyle w:val="BodyText"/>
        <w:bidi/>
      </w:pPr>
      <w:r>
        <w:rPr>
          <w:b/>
          <w:bCs/>
          <w:rtl/>
        </w:rPr>
        <w:t xml:space="preserve">المادة (23): المساءلة.</w:t>
      </w:r>
      <w:r>
        <w:rPr>
          <w:rtl/>
        </w:rPr>
        <w:t xml:space="preserve"> </w:t>
      </w:r>
      <w:r>
        <w:rPr>
          <w:rtl/>
        </w:rPr>
        <w:t xml:space="preserve">يقدم الوزير تقريراً نصف سنوي إلى السلطة التشريعية، ويخضع للاستجواب.</w:t>
      </w:r>
    </w:p>
    <w:p>
      <w:pPr>
        <w:pStyle w:val="BodyText"/>
        <w:bidi/>
      </w:pPr>
      <w:r>
        <w:rPr>
          <w:b/>
          <w:bCs/>
          <w:rtl/>
        </w:rPr>
        <w:t xml:space="preserve">المادة (24): الرقابة الداخلية.</w:t>
      </w:r>
      <w:r>
        <w:rPr>
          <w:rtl/>
        </w:rPr>
        <w:t xml:space="preserve"> </w:t>
      </w:r>
      <w:r>
        <w:rPr>
          <w:rtl/>
        </w:rPr>
        <w:t xml:space="preserve">تخضع الوزارة لما تخضع له بقية الجهات من تدقيق ومساءلة،</w:t>
      </w:r>
      <w:r>
        <w:rPr>
          <w:rtl/>
        </w:rPr>
        <w:t xml:space="preserve"> </w:t>
      </w:r>
      <w:r>
        <w:rPr>
          <w:b/>
          <w:bCs/>
          <w:rtl/>
        </w:rPr>
        <w:t xml:space="preserve">فمن يصلح غيره أولى بأن يُراجَع</w:t>
      </w:r>
      <w:r>
        <w:rPr>
          <w:rtl/>
        </w:rPr>
        <w:t xml:space="preserve">، وتُنشر نتائج مراجعتها.</w:t>
      </w:r>
    </w:p>
    <w:p>
      <w:pPr>
        <w:pStyle w:val="BodyText"/>
        <w:bidi/>
      </w:pPr>
      <w:r>
        <w:rPr>
          <w:b/>
          <w:bCs/>
          <w:rtl/>
        </w:rPr>
        <w:t xml:space="preserve">المادة (25): مصير الوزارة.</w:t>
      </w:r>
      <w:r>
        <w:rPr>
          <w:rtl/>
        </w:rPr>
        <w:t xml:space="preserve"> </w:t>
      </w:r>
      <w:r>
        <w:rPr>
          <w:rtl/>
        </w:rPr>
        <w:t xml:space="preserve">ترفع الوزارة قبل نهاية الفترة الانتقالية توصية مسببة إما باستمرارها وزارةً، أو بتحويلها إلى وحدة دائمة في رئاسة مجلس الوزراء، أو بإنهاء مهمتها.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تستمر بعد الفترة الانتقالية إلا بناءً على تقييم مستقل يثبت الحاجة إليها وبقرار من السلطة التشريعية.</w:t>
      </w:r>
    </w:p>
    <w:p>
      <w:pPr>
        <w:pStyle w:val="BodyText"/>
        <w:bidi/>
      </w:pPr>
      <w:r>
        <w:rPr>
          <w:b/>
          <w:bCs/>
          <w:rtl/>
        </w:rPr>
        <w:t xml:space="preserve">المادة (26): اللوائح.</w:t>
      </w:r>
      <w:r>
        <w:rPr>
          <w:rtl/>
        </w:rPr>
        <w:t xml:space="preserve"> </w:t>
      </w:r>
      <w:r>
        <w:rPr>
          <w:rtl/>
        </w:rPr>
        <w:t xml:space="preserve">تصدر الوزارة لوائحها خلال تسعين يوماً وتنشرها.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Noto Naskh Arabic">
    <w:charset w:val="00"/>
    <w:family w:val="roman"/>
    <w:pitch w:val="variable"/>
    <w:embedRegular r:id="rIdFont1" w:fontKey="{ADE3D6F1-EBDD-4C3C-A52C-98128F13B554}"/>
    <w:embedBold r:id="rIdFont2" w:fontKey="{53DD5603-99F8-4059-8CE7-0DF2F931C5E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bidi/>
    </w:pPr>
    <w:r>
      <w:rPr>
        <w:rtl/>
      </w:rPr>
      <w:t xml:space="preserve">— </w:t>
    </w:r>
    <w:r>
      <w:rPr>
        <w:rtl/>
      </w:rPr>
      <w:fldChar w:fldCharType="begin"/>
    </w:r>
    <w:r>
      <w:rPr>
        <w:rtl/>
      </w:rPr>
      <w:instrText xml:space="preserve"> PAGE </w:instrText>
    </w:r>
    <w:r>
      <w:rPr>
        <w:rtl/>
      </w:rPr>
      <w:fldChar w:fldCharType="separate"/>
    </w:r>
    <w:r>
      <w:rPr>
        <w:rtl/>
      </w:rPr>
      <w:t>1</w:t>
    </w:r>
    <w:r>
      <w:rPr>
        <w:rtl/>
      </w:rPr>
      <w:fldChar w:fldCharType="end"/>
    </w:r>
    <w:r>
      <w:rPr>
        <w:rtl/>
      </w:rPr>
      <w:t xml:space="preserve"> —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bidi/>
    </w:pPr>
    <w:r>
      <w:rPr>
        <w:rtl/>
      </w:rPr>
      <w:t xml:space="preserve">عهد جديد — طريق السودان إلى السلم والتعافي الوطني والنهضة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TrueTypeFonts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oto Naskh Arabic" w:cs="Noto Naskh Arabic" w:eastAsia="Noto Naskh Arabic" w:hAnsi="Noto Naskh Arabic"/>
        <w:sz w:val="24"/>
        <w:szCs w:val="24"/>
        <w:lang w:bidi="ar-SA" w:eastAsia="en-US" w:val="ar-SA"/>
      </w:rPr>
    </w:rPrDefault>
    <w:pPrDefault>
      <w:pPr>
        <w:bidi/>
        <w:spacing w:after="120" w:line="276" w:lineRule="auto"/>
      </w:pPr>
    </w:pPrDefault>
  </w:docDefaults>
  <w:style w:default="1" w:styleId="Normal" w:type="paragraph">
    <w:name w:val="Normal"/>
    <w:qFormat/>
    <w:pPr>
      <w:bidi/>
      <w:spacing w:after="120" w:before="0" w:line="380" w:lineRule="exact"/>
      <w:jc w:val="both"/>
    </w:pPr>
    <w:rPr>
      <w:rFonts w:ascii="Noto Naskh Arabic" w:cs="Noto Naskh Arabic" w:eastAsia="Noto Naskh Arabic" w:hAnsi="Noto Naskh Arabic"/>
      <w:sz w:val="24"/>
      <w:szCs w:val="24"/>
      <w:rtl/>
    </w:rPr>
  </w:style>
  <w:style w:customStyle="1" w:styleId="BodyText" w:type="paragraph">
    <w:name w:val="Body Text"/>
    <w:basedOn w:val="Normal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FirstParagraph" w:type="paragraph">
    <w:name w:val="First Paragraph"/>
    <w:basedOn w:val="BodyText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Compact" w:type="paragraph">
    <w:name w:val="Compact"/>
    <w:basedOn w:val="BodyText"/>
    <w:next w:val="BodyText"/>
    <w:qFormat/>
    <w:pPr>
      <w:bidi/>
      <w:spacing w:after="30" w:before="30" w:line="340" w:lineRule="exact"/>
    </w:pPr>
    <w:rPr>
      <w:sz w:val="22"/>
      <w:szCs w:val="22"/>
      <w:rtl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pBdr>
        <w:bottom w:color="1F3864" w:space="6" w:sz="12" w:val="single"/>
      </w:pBdr>
      <w:bidi/>
      <w:spacing w:after="360" w:before="0" w:line="276" w:lineRule="auto"/>
      <w:jc w:val="left"/>
      <w:outlineLvl w:val="0"/>
    </w:pPr>
    <w:rPr>
      <w:rFonts w:ascii="Noto Naskh Arabic" w:cs="Noto Naskh Arabic" w:eastAsia="Noto Naskh Arabic" w:hAnsi="Noto Naskh Arabic"/>
      <w:b/>
      <w:bCs/>
      <w:color w:val="1F3864"/>
      <w:sz w:val="44"/>
      <w:szCs w:val="44"/>
      <w:rtl/>
    </w:rPr>
  </w:style>
  <w:style w:styleId="Heading2" w:type="paragraph">
    <w:name w:val="heading 2"/>
    <w:basedOn w:val="Normal"/>
    <w:next w:val="BodyText"/>
    <w:uiPriority w:val="9"/>
    <w:qFormat/>
    <w:pPr>
      <w:keepNext/>
      <w:keepLines/>
      <w:bidi/>
      <w:spacing w:after="160" w:before="360" w:line="276" w:lineRule="auto"/>
      <w:jc w:val="left"/>
      <w:outlineLvl w:val="1"/>
    </w:pPr>
    <w:rPr>
      <w:rFonts w:ascii="Noto Naskh Arabic" w:cs="Noto Naskh Arabic" w:eastAsia="Noto Naskh Arabic" w:hAnsi="Noto Naskh Arabic"/>
      <w:b/>
      <w:bCs/>
      <w:color w:val="1E6B52"/>
      <w:sz w:val="33"/>
      <w:szCs w:val="33"/>
      <w:rtl/>
    </w:rPr>
  </w:style>
  <w:style w:styleId="Heading3" w:type="paragraph">
    <w:name w:val="heading 3"/>
    <w:basedOn w:val="Normal"/>
    <w:next w:val="BodyText"/>
    <w:uiPriority w:val="9"/>
    <w:qFormat/>
    <w:pPr>
      <w:keepNext/>
      <w:keepLines/>
      <w:bidi/>
      <w:spacing w:after="100" w:before="240" w:line="276" w:lineRule="auto"/>
      <w:jc w:val="left"/>
      <w:outlineLvl w:val="2"/>
    </w:pPr>
    <w:rPr>
      <w:rFonts w:ascii="Noto Naskh Arabic" w:cs="Noto Naskh Arabic" w:eastAsia="Noto Naskh Arabic" w:hAnsi="Noto Naskh Arabic"/>
      <w:b/>
      <w:bCs/>
      <w:color w:val="9C2A2A"/>
      <w:sz w:val="28"/>
      <w:szCs w:val="28"/>
      <w:rtl/>
    </w:rPr>
  </w:style>
  <w:style w:styleId="Heading4" w:type="paragraph">
    <w:name w:val="heading 4"/>
    <w:basedOn w:val="Normal"/>
    <w:next w:val="BodyText"/>
    <w:uiPriority w:val="9"/>
    <w:qFormat/>
    <w:pPr>
      <w:keepNext/>
      <w:keepLines/>
      <w:bidi/>
      <w:spacing w:after="80" w:before="200" w:line="276" w:lineRule="auto"/>
      <w:jc w:val="left"/>
      <w:outlineLvl w:val="3"/>
    </w:pPr>
    <w:rPr>
      <w:rFonts w:ascii="Noto Naskh Arabic" w:cs="Noto Naskh Arabic" w:eastAsia="Noto Naskh Arabic" w:hAnsi="Noto Naskh Arabic"/>
      <w:b/>
      <w:bCs/>
      <w:color w:val="1F3864"/>
      <w:sz w:val="27"/>
      <w:szCs w:val="27"/>
      <w:rtl/>
    </w:rPr>
  </w:style>
  <w:style w:styleId="Heading5" w:type="paragraph">
    <w:name w:val="heading 5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4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styleId="Heading6" w:type="paragraph">
    <w:name w:val="heading 6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5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customStyle="1" w:styleId="BlockText" w:type="paragraph">
    <w:name w:val="Block Text"/>
    <w:basedOn w:val="BodyText"/>
    <w:next w:val="BodyText"/>
    <w:qFormat/>
    <w:pPr>
      <w:pBdr>
        <w:right w:color="1E6B52" w:space="10" w:sz="36" w:val="single"/>
      </w:pBdr>
      <w:shd w:color="auto" w:fill="EEF2F7" w:val="clear"/>
      <w:bidi/>
      <w:spacing w:after="160" w:before="160" w:line="276" w:lineRule="auto"/>
      <w:ind w:left="200" w:right="200"/>
      <w:jc w:val="both"/>
    </w:pPr>
    <w:rPr>
      <w:color w:val="1A1A1A"/>
      <w:rtl/>
    </w:rPr>
  </w:style>
  <w:style w:customStyle="1" w:styleId="Title" w:type="paragraph">
    <w:name w:val="Title"/>
    <w:basedOn w:val="Normal"/>
    <w:next w:val="BodyText"/>
    <w:qFormat/>
    <w:pPr>
      <w:bidi/>
      <w:spacing w:after="200" w:line="240" w:lineRule="auto"/>
      <w:jc w:val="center"/>
    </w:pPr>
    <w:rPr>
      <w:b/>
      <w:bCs/>
      <w:color w:val="1F3864"/>
      <w:sz w:val="68"/>
      <w:szCs w:val="68"/>
      <w:rtl/>
    </w:rPr>
  </w:style>
  <w:style w:customStyle="1" w:styleId="Subtitle" w:type="paragraph">
    <w:name w:val="Subtitle"/>
    <w:basedOn w:val="Normal"/>
    <w:next w:val="BodyText"/>
    <w:qFormat/>
    <w:pPr>
      <w:bidi/>
      <w:spacing w:line="240" w:lineRule="auto"/>
      <w:jc w:val="center"/>
    </w:pPr>
    <w:rPr>
      <w:color w:val="1E6B52"/>
      <w:sz w:val="40"/>
      <w:szCs w:val="40"/>
      <w:rtl/>
    </w:rPr>
  </w:style>
  <w:style w:customStyle="1" w:styleId="CoverKicker" w:type="paragraph">
    <w:name w:val="Cover Kicker"/>
    <w:basedOn w:val="Normal"/>
    <w:next w:val="BodyText"/>
    <w:qFormat/>
    <w:pPr>
      <w:bidi/>
      <w:spacing w:after="120" w:before="600" w:line="240" w:lineRule="auto"/>
      <w:jc w:val="center"/>
    </w:pPr>
    <w:rPr>
      <w:b/>
      <w:bCs/>
      <w:color w:val="1E6B52"/>
      <w:sz w:val="36"/>
      <w:szCs w:val="36"/>
      <w:rtl/>
    </w:rPr>
  </w:style>
  <w:style w:customStyle="1" w:styleId="CoverTitle" w:type="paragraph">
    <w:name w:val="Cover Title"/>
    <w:basedOn w:val="Normal"/>
    <w:next w:val="BodyText"/>
    <w:qFormat/>
    <w:pPr>
      <w:pBdr>
        <w:bottom w:color="9C2A2A" w:space="10" w:sz="18" w:val="single"/>
      </w:pBdr>
      <w:bidi/>
      <w:spacing w:after="120" w:before="120" w:line="240" w:lineRule="auto"/>
      <w:jc w:val="center"/>
    </w:pPr>
    <w:rPr>
      <w:b/>
      <w:bCs/>
      <w:color w:val="1F3864"/>
      <w:sz w:val="80"/>
      <w:szCs w:val="80"/>
      <w:rtl/>
    </w:rPr>
  </w:style>
  <w:style w:customStyle="1" w:styleId="CoverSubtitle" w:type="paragraph">
    <w:name w:val="Cover Subtitle"/>
    <w:basedOn w:val="Normal"/>
    <w:next w:val="BodyText"/>
    <w:qFormat/>
    <w:pPr>
      <w:bidi/>
      <w:spacing w:after="360" w:before="240" w:line="240" w:lineRule="auto"/>
      <w:jc w:val="center"/>
    </w:pPr>
    <w:rPr>
      <w:color w:val="595959"/>
      <w:sz w:val="44"/>
      <w:szCs w:val="44"/>
      <w:rtl/>
    </w:rPr>
  </w:style>
  <w:style w:customStyle="1" w:styleId="CoverCenter" w:type="paragraph">
    <w:name w:val="Cover Center"/>
    <w:basedOn w:val="Normal"/>
    <w:next w:val="BodyText"/>
    <w:qFormat/>
    <w:pPr>
      <w:bidi/>
      <w:spacing w:after="200" w:before="200" w:line="240" w:lineRule="auto"/>
      <w:jc w:val="center"/>
    </w:pPr>
    <w:rPr>
      <w:rtl/>
    </w:rPr>
  </w:style>
  <w:style w:customStyle="1" w:styleId="CoverDate" w:type="paragraph">
    <w:name w:val="Cover Date"/>
    <w:basedOn w:val="Normal"/>
    <w:next w:val="BodyText"/>
    <w:qFormat/>
    <w:pPr>
      <w:bidi/>
      <w:spacing w:after="0" w:before="360" w:line="240" w:lineRule="auto"/>
      <w:jc w:val="center"/>
    </w:pPr>
    <w:rPr>
      <w:b/>
      <w:bCs/>
      <w:color w:val="1F3864"/>
      <w:sz w:val="36"/>
      <w:szCs w:val="36"/>
      <w:rtl/>
    </w:rPr>
  </w:style>
  <w:style w:customStyle="1" w:styleId="CoverNote" w:type="paragraph">
    <w:name w:val="Cover Note"/>
    <w:basedOn w:val="Normal"/>
    <w:next w:val="BodyText"/>
    <w:qFormat/>
    <w:pPr>
      <w:bidi/>
      <w:spacing w:before="120" w:line="240" w:lineRule="auto"/>
      <w:jc w:val="center"/>
    </w:pPr>
    <w:rPr>
      <w:color w:val="595959"/>
      <w:sz w:val="32"/>
      <w:szCs w:val="32"/>
      <w:rtl/>
    </w:rPr>
  </w:style>
  <w:style w:customStyle="1" w:styleId="FigureCaption" w:type="paragraph">
    <w:name w:val="Figure Caption"/>
    <w:basedOn w:val="Normal"/>
    <w:next w:val="BodyText"/>
    <w:qFormat/>
    <w:pPr>
      <w:bidi/>
      <w:spacing w:after="240" w:before="60" w:line="240" w:lineRule="auto"/>
      <w:jc w:val="center"/>
    </w:pPr>
    <w:rPr>
      <w:i/>
      <w:iCs/>
      <w:color w:val="595959"/>
      <w:sz w:val="24"/>
      <w:szCs w:val="24"/>
      <w:rtl/>
    </w:rPr>
  </w:style>
  <w:style w:customStyle="1" w:styleId="CardHeading" w:type="paragraph">
    <w:name w:val="Card Heading"/>
    <w:basedOn w:val="Normal"/>
    <w:next w:val="BodyText"/>
    <w:qFormat/>
    <w:pPr>
      <w:bidi/>
      <w:spacing w:after="240" w:before="0" w:line="240" w:lineRule="auto"/>
      <w:jc w:val="center"/>
    </w:pPr>
    <w:rPr>
      <w:b/>
      <w:bCs/>
      <w:color w:val="1F3864"/>
      <w:sz w:val="40"/>
      <w:szCs w:val="40"/>
      <w:rtl/>
    </w:rPr>
  </w:style>
  <w:style w:customStyle="1" w:styleId="TOCHeading" w:type="paragraph">
    <w:name w:val="TOC Heading"/>
    <w:basedOn w:val="Normal"/>
    <w:next w:val="BodyText"/>
    <w:qFormat/>
    <w:pPr>
      <w:pBdr>
        <w:bottom w:color="1F3864" w:space="6" w:sz="12" w:val="single"/>
      </w:pBdr>
      <w:bidi/>
      <w:spacing w:after="300" w:line="240" w:lineRule="auto"/>
      <w:jc w:val="center"/>
    </w:pPr>
    <w:rPr>
      <w:b/>
      <w:bCs/>
      <w:color w:val="1F3864"/>
      <w:sz w:val="48"/>
      <w:szCs w:val="48"/>
      <w:rtl/>
    </w:rPr>
  </w:style>
  <w:style w:customStyle="1" w:styleId="TOC1" w:type="paragraph">
    <w:name w:val="toc 1"/>
    <w:basedOn w:val="Normal"/>
    <w:next w:val="BodyText"/>
    <w:qFormat/>
    <w:pPr>
      <w:tabs>
        <w:tab w:leader="dot" w:pos="9350" w:val="right"/>
      </w:tabs>
      <w:bidi/>
      <w:spacing w:after="40" w:before="120" w:line="240" w:lineRule="auto"/>
    </w:pPr>
    <w:rPr>
      <w:b/>
      <w:bCs/>
      <w:color w:val="1F3864"/>
      <w:sz w:val="28"/>
      <w:szCs w:val="28"/>
      <w:rtl/>
    </w:rPr>
  </w:style>
  <w:style w:customStyle="1" w:styleId="TOC2" w:type="paragraph">
    <w:name w:val="toc 2"/>
    <w:basedOn w:val="Normal"/>
    <w:next w:val="BodyText"/>
    <w:qFormat/>
    <w:pPr>
      <w:tabs>
        <w:tab w:leader="dot" w:pos="9350" w:val="right"/>
      </w:tabs>
      <w:bidi/>
      <w:spacing w:after="0" w:before="0" w:line="240" w:lineRule="auto"/>
      <w:ind w:right="360"/>
    </w:pPr>
    <w:rPr>
      <w:sz w:val="23"/>
      <w:szCs w:val="23"/>
      <w:rtl/>
    </w:rPr>
  </w:style>
  <w:style w:customStyle="1" w:styleId="Header" w:type="paragraph">
    <w:name w:val="header"/>
    <w:basedOn w:val="Normal"/>
    <w:next w:val="BodyText"/>
    <w:qFormat/>
    <w:pPr>
      <w:pBdr>
        <w:bottom w:color="BFC7D5" w:space="4" w:sz="4" w:val="single"/>
      </w:pBdr>
      <w:bidi/>
      <w:spacing w:after="0" w:line="240" w:lineRule="auto"/>
      <w:jc w:val="center"/>
    </w:pPr>
    <w:rPr>
      <w:color w:val="595959"/>
      <w:sz w:val="21"/>
      <w:szCs w:val="21"/>
      <w:rtl/>
    </w:rPr>
  </w:style>
  <w:style w:customStyle="1" w:styleId="Footer" w:type="paragraph">
    <w:name w:val="footer"/>
    <w:basedOn w:val="Normal"/>
    <w:next w:val="BodyText"/>
    <w:qFormat/>
    <w:pPr>
      <w:bidi/>
      <w:spacing w:after="0" w:line="240" w:lineRule="auto"/>
      <w:jc w:val="center"/>
    </w:pPr>
    <w:rPr>
      <w:color w:val="1F3864"/>
      <w:sz w:val="22"/>
      <w:szCs w:val="22"/>
      <w:rtl/>
    </w:rPr>
  </w:style>
  <w:style w:customStyle="1" w:styleId="FootnoteText" w:type="paragraph">
    <w:name w:val="footnote text"/>
    <w:basedOn w:val="Normal"/>
    <w:next w:val="BodyText"/>
    <w:qFormat/>
    <w:pPr>
      <w:bidi/>
      <w:spacing w:after="0" w:line="240" w:lineRule="auto"/>
    </w:pPr>
    <w:rPr>
      <w:sz w:val="22"/>
      <w:szCs w:val="22"/>
      <w:rtl/>
    </w:rPr>
  </w:style>
  <w:style w:customStyle="1" w:styleId="Caption" w:type="paragraph">
    <w:name w:val="caption"/>
    <w:basedOn w:val="Normal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TableCaption" w:type="paragraph">
    <w:name w:val="Tabl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ImageCaption" w:type="paragraph">
    <w:name w:val="Imag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Figure" w:type="paragraph">
    <w:name w:val="Figure"/>
    <w:basedOn w:val="Normal"/>
    <w:next w:val="BodyText"/>
    <w:qFormat/>
    <w:pPr>
      <w:bidi/>
      <w:spacing w:line="240" w:lineRule="auto"/>
      <w:jc w:val="center"/>
    </w:pPr>
    <w:rPr>
      <w:rtl/>
    </w:rPr>
  </w:style>
  <w:style w:customStyle="1" w:styleId="CaptionedFigure" w:type="paragraph">
    <w:name w:val="Captioned Figure"/>
    <w:basedOn w:val="Figure"/>
    <w:next w:val="BodyText"/>
    <w:qFormat/>
    <w:pPr>
      <w:bidi/>
      <w:spacing w:line="240" w:lineRule="auto"/>
      <w:jc w:val="center"/>
    </w:pPr>
    <w:rPr>
      <w:rtl/>
    </w:rPr>
  </w:style>
  <w:style w:default="1" w:styleId="DefaultParagraphFont" w:type="character">
    <w:name w:val="Default Paragraph Font"/>
    <w:uiPriority w:val="1"/>
    <w:semiHidden/>
  </w:style>
  <w:style w:customStyle="1" w:styleId="BodyTextChar" w:type="character">
    <w:name w:val="Body Text Char"/>
    <w:basedOn w:val="DefaultParagraphFont"/>
  </w:style>
  <w:style w:customStyle="1" w:styleId="VerbatimChar" w:type="character">
    <w:name w:val="Verbatim Char"/>
    <w:rPr>
      <w:rFonts w:ascii="Consolas" w:hAnsi="Consolas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rPr>
      <w:color w:val="1E6B52"/>
      <w:u w:val="single"/>
    </w:rPr>
  </w:style>
  <w:style w:default="1" w:styleId="Table" w:type="table">
    <w:name w:val="Table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firstRow">
      <w:rPr>
        <w:b/>
        <w:bCs/>
        <w:color w:val="FFFFFF"/>
      </w:rPr>
      <w:tblPr/>
      <w:trPr>
        <w:tblHeader/>
      </w:trPr>
      <w:tcPr>
        <w:shd w:color="auto" w:fill="1F3864" w:val="clear"/>
      </w:tcPr>
    </w:tblStylePr>
    <w:tblStylePr w:type="band2Horz">
      <w:tblPr/>
      <w:tcPr>
        <w:shd w:color="auto" w:fill="F4F6F9" w:val="clear"/>
      </w:tcPr>
    </w:tblStylePr>
  </w:style>
  <w:style w:styleId="TablePlain" w:type="table">
    <w:name w:val="Table Plain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band2Horz">
      <w:tblPr/>
      <w:tcPr>
        <w:shd w:color="auto" w:fill="F4F6F9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Hdr1" Type="http://schemas.openxmlformats.org/officeDocument/2006/relationships/header" Target="header1.xml"/><Relationship Id="rIdFtr1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عهد جديد — طريق السودان إلى السلم والتعافي الوطني والنهضة</dc:title>
  <dc:creator>عادل عبد العاطي</dc:creator>
  <cp:lastModifiedBy>عادل عبد العاطي</cp:lastModifiedBy>
  <dc:subject>رؤية وبرنامج سياسي 2027–2034</dc:subject>
  <dc:language>ar-SD</dc:language>
  <dcterms:created xsi:type="dcterms:W3CDTF">2026-09-18T00:00:00Z</dcterms:created>
  <dcterms:modified xsi:type="dcterms:W3CDTF">2026-09-18T00:00:00Z</dcterms:modified>
</cp:coreProperties>
</file>