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السياسة الوطنية لإدارة ونقدنة الأراضي العامة</w:t>
      </w:r>
    </w:p>
    <w:p>
      <w:pPr>
        <w:pStyle w:val="CoverSubtitle"/>
        <w:bidi/>
      </w:pPr>
      <w:r>
        <w:rPr>
          <w:rtl/>
        </w:rPr>
        <w:t xml:space="preserve">الحصر — التسجيل — التقييم — الاستثمار — حماية الحقوق</w:t>
      </w:r>
    </w:p>
    <w:p>
      <w:pPr>
        <w:pStyle w:val="CoverNote"/>
        <w:bidi/>
      </w:pPr>
      <w:r>
        <w:rPr>
          <w:rtl/>
        </w:rPr>
        <w:t xml:space="preserve">الإصدار الثاني، ورقة سياسات مرافقة لرؤية «عهد جديد»</w:t>
      </w:r>
    </w:p>
    <w:p>
      <w:pPr>
        <w:pStyle w:val="CoverDate"/>
        <w:bidi/>
      </w:pPr>
      <w:r>
        <w:rPr>
          <w:rtl/>
        </w:rPr>
        <w:t xml:space="preserve">سبتمبر 2026م</w:t>
      </w:r>
    </w:p>
    <w:p>
      <w:pPr>
        <w:bidi/>
      </w:pPr>
      <w:r>
        <w:rPr>
          <w:rtl/>
        </w:rPr>
        <w:br w:type="page"/>
      </w:r>
    </w:p>
    <w:bookmarkStart w:id="20" w:name="تمهيد"/>
    <w:p>
      <w:pPr>
        <w:pStyle w:val="Heading1"/>
        <w:bidi/>
      </w:pPr>
      <w:r>
        <w:rPr>
          <w:rtl/>
        </w:rPr>
        <w:t xml:space="preserve">تمهيد</w:t>
      </w:r>
    </w:p>
    <w:p>
      <w:pPr>
        <w:pStyle w:val="FirstParagraph"/>
        <w:bidi/>
      </w:pPr>
      <w:r>
        <w:rPr>
          <w:i/>
          <w:iCs/>
          <w:rtl/>
        </w:rPr>
        <w:t xml:space="preserve">(الإصدار الثاني، بعد مراجعة خارجية متخصصة. ورقة سياسات من المستوى الثالث لرؤية «عهد جديد»، ويرافقها مشروع قانون الأراضي العامة وإدارتها.)</w:t>
      </w:r>
    </w:p>
    <w:p>
      <w:pPr>
        <w:pStyle w:val="BodyText"/>
        <w:bidi/>
      </w:pPr>
      <w:r>
        <w:rPr>
          <w:b/>
          <w:bCs/>
          <w:rtl/>
        </w:rPr>
        <w:t xml:space="preserve">ما الذي تغيّر في هذا الإصدار؟</w:t>
      </w:r>
      <w:r>
        <w:rPr>
          <w:rtl/>
        </w:rPr>
        <w:t xml:space="preserve"> </w:t>
      </w:r>
      <w:r>
        <w:rPr>
          <w:rtl/>
        </w:rPr>
        <w:t xml:space="preserve">فُصلت</w:t>
      </w:r>
      <w:r>
        <w:rPr>
          <w:rtl/>
        </w:rPr>
        <w:t xml:space="preserve"> </w:t>
      </w:r>
      <w:r>
        <w:rPr>
          <w:b/>
          <w:bCs/>
          <w:rtl/>
        </w:rPr>
        <w:t xml:space="preserve">إدارة الأرض</w:t>
      </w:r>
      <w:r>
        <w:rPr>
          <w:rtl/>
        </w:rPr>
        <w:t xml:space="preserve"> </w:t>
      </w:r>
      <w:r>
        <w:rPr>
          <w:rtl/>
        </w:rPr>
        <w:t xml:space="preserve">عن</w:t>
      </w:r>
      <w:r>
        <w:rPr>
          <w:rtl/>
        </w:rPr>
        <w:t xml:space="preserve"> </w:t>
      </w:r>
      <w:r>
        <w:rPr>
          <w:b/>
          <w:bCs/>
          <w:rtl/>
        </w:rPr>
        <w:t xml:space="preserve">النقدنة</w:t>
      </w:r>
      <w:r>
        <w:rPr>
          <w:rtl/>
        </w:rPr>
        <w:t xml:space="preserve"> </w:t>
      </w:r>
      <w:r>
        <w:rPr>
          <w:rtl/>
        </w:rPr>
        <w:t xml:space="preserve">مفاهيمياً؛ وضُبطت صياغة الحقوق العرفية والحواكير؛ وحُذفت أوزان التقييم واستُبدلت بمنهجيات مهنية لكل فئة؛ وحُذفت نسبة الإيجار الثابتة؛ وأُعيدت صياغة نصيب الأقاليم بمعادلة بدل نسبة مقطوعة؛ وأُضيفت</w:t>
      </w:r>
      <w:r>
        <w:rPr>
          <w:rtl/>
        </w:rPr>
        <w:t xml:space="preserve"> </w:t>
      </w:r>
      <w:r>
        <w:rPr>
          <w:b/>
          <w:bCs/>
          <w:rtl/>
        </w:rPr>
        <w:t xml:space="preserve">هيئة تسوية ورد الحقوق العقارية</w:t>
      </w:r>
      <w:r>
        <w:rPr>
          <w:rtl/>
        </w:rPr>
        <w:t xml:space="preserve"> </w:t>
      </w:r>
      <w:r>
        <w:rPr>
          <w:rtl/>
        </w:rPr>
        <w:t xml:space="preserve">للنازحين والعائدين؛ وفصل مستقل</w:t>
      </w:r>
      <w:r>
        <w:rPr>
          <w:rtl/>
        </w:rPr>
        <w:t xml:space="preserve"> </w:t>
      </w:r>
      <w:r>
        <w:rPr>
          <w:b/>
          <w:bCs/>
          <w:rtl/>
        </w:rPr>
        <w:t xml:space="preserve">لحقوق النساء والفئات الهشة</w:t>
      </w:r>
      <w:r>
        <w:rPr>
          <w:rtl/>
        </w:rPr>
        <w:t xml:space="preserve">؛ و</w:t>
      </w:r>
      <w:r>
        <w:rPr>
          <w:b/>
          <w:bCs/>
          <w:rtl/>
        </w:rPr>
        <w:t xml:space="preserve">اختبار المصلحة العامة</w:t>
      </w:r>
      <w:r>
        <w:rPr>
          <w:rtl/>
        </w:rPr>
        <w:t xml:space="preserve"> </w:t>
      </w:r>
      <w:r>
        <w:rPr>
          <w:rtl/>
        </w:rPr>
        <w:t xml:space="preserve">قبل أي نقدنة؛ وسجل خاص لأراضي القوات المسلحة والأجهزة؛ وتمييز بين ثلاثة أنواع من القيمة؛ وخُففت الأحكام التاريخية والدولية القطعية.</w:t>
      </w:r>
    </w:p>
    <w:p>
      <w:pPr>
        <w:pStyle w:val="BlockText"/>
        <w:bidi/>
      </w:pPr>
      <w:r>
        <w:rPr>
          <w:b/>
          <w:bCs/>
          <w:rtl/>
        </w:rPr>
        <w:t xml:space="preserve">الفكرة المركزية: لا نبيع الأرض لنحصل على المال. نعرف أولاً ماذا نملك، ونحمي الحقوق القائمة، ونقيّم الأصول، ثم نستخرج من الأرض قيمة اقتصادية دون أن نهدر الأصل.</w:t>
      </w:r>
    </w:p>
    <w:p>
      <w:pPr>
        <w:bidi/>
      </w:pPr>
      <w:r>
        <w:rPr>
          <w:rtl/>
        </w:rPr>
        <w:br w:type="page"/>
      </w:r>
    </w:p>
    <w:bookmarkEnd w:id="20"/>
    <w:bookmarkStart w:id="24" w:name="أولا-المفاهيم-والحدود"/>
    <w:p>
      <w:pPr>
        <w:pStyle w:val="Heading1"/>
        <w:bidi/>
      </w:pPr>
      <w:r>
        <w:rPr>
          <w:rtl/>
        </w:rPr>
        <w:t xml:space="preserve">أولاً: المفاهيم والحدود</w:t>
      </w:r>
    </w:p>
    <w:bookmarkStart w:id="21" w:name="التسلسل-المفاهيمي"/>
    <w:p>
      <w:pPr>
        <w:pStyle w:val="Heading2"/>
        <w:bidi/>
      </w:pPr>
      <w:r>
        <w:rPr>
          <w:rtl/>
        </w:rPr>
        <w:t xml:space="preserve">التسلسل المفاهيمي</w:t>
      </w:r>
    </w:p>
    <w:p>
      <w:pPr>
        <w:pStyle w:val="FirstParagraph"/>
        <w:bidi/>
      </w:pPr>
      <w:r>
        <w:rPr>
          <w:b/>
          <w:bCs/>
          <w:rtl/>
        </w:rPr>
        <w:t xml:space="preserve">إدارة الأرض ← تقييم الأرض ← نقدنة الأرض.</w:t>
      </w:r>
      <w:r>
        <w:rPr>
          <w:rtl/>
        </w:rPr>
        <w:t xml:space="preserve"> </w:t>
      </w:r>
      <w:r>
        <w:rPr>
          <w:rtl/>
        </w:rPr>
        <w:t xml:space="preserve">وليست الأولى نقدنة، ولا تغني عنها.</w:t>
      </w:r>
    </w:p>
    <w:p>
      <w:pPr>
        <w:pStyle w:val="BodyText"/>
        <w:bidi/>
      </w:pPr>
      <w:r>
        <w:rPr>
          <w:b/>
          <w:bCs/>
          <w:rtl/>
        </w:rPr>
        <w:t xml:space="preserve">فالنقدنة</w:t>
      </w:r>
      <w:r>
        <w:rPr>
          <w:rtl/>
        </w:rPr>
        <w:t xml:space="preserve"> </w:t>
      </w:r>
      <w:r>
        <w:rPr>
          <w:rtl/>
        </w:rPr>
        <w:t xml:space="preserve">هي:</w:t>
      </w:r>
      <w:r>
        <w:rPr>
          <w:rtl/>
        </w:rPr>
        <w:t xml:space="preserve"> </w:t>
      </w:r>
      <w:r>
        <w:rPr>
          <w:b/>
          <w:bCs/>
          <w:rtl/>
        </w:rPr>
        <w:t xml:space="preserve">تحويل جزء من القيمة الاقتصادية الكامنة في الأرض العامة إلى إيراد أو استثمار أو تمويل، مع بقاء الملكية العامة حيث تقتضي المصلحة العامة ذلك.</w:t>
      </w:r>
      <w:r>
        <w:rPr>
          <w:rtl/>
        </w:rPr>
        <w:t xml:space="preserve"> </w:t>
      </w:r>
      <w:r>
        <w:rPr>
          <w:b/>
          <w:bCs/>
          <w:rtl/>
        </w:rPr>
        <w:t xml:space="preserve">ويسبقها</w:t>
      </w:r>
      <w:r>
        <w:rPr>
          <w:rtl/>
        </w:rPr>
        <w:t xml:space="preserve"> </w:t>
      </w:r>
      <w:r>
        <w:rPr>
          <w:rtl/>
        </w:rPr>
        <w:t xml:space="preserve">الحصر والتسجيل والفرز القانوني والتصنيف والتقييم.</w:t>
      </w:r>
    </w:p>
    <w:bookmarkEnd w:id="21"/>
    <w:bookmarkStart w:id="22" w:name="منظومة-إدارة-الأرض-ثمانية-مكونات"/>
    <w:p>
      <w:pPr>
        <w:pStyle w:val="Heading2"/>
        <w:bidi/>
      </w:pPr>
      <w:r>
        <w:rPr>
          <w:rtl/>
        </w:rPr>
        <w:t xml:space="preserve">منظومة إدارة الأرض: ثمانية مكونات</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المكون</w:t>
            </w:r>
          </w:p>
        </w:tc>
        <w:tc>
          <w:tcPr/>
          <w:p>
            <w:pPr>
              <w:pStyle w:val="Compact"/>
              <w:bidi/>
              <w:jc w:val="left"/>
            </w:pPr>
            <w:r>
              <w:rPr>
                <w:rtl/>
              </w:rPr>
              <w:t xml:space="preserve">المضمون</w:t>
            </w:r>
          </w:p>
        </w:tc>
      </w:tr>
      <w:tr>
        <w:tc>
          <w:tcPr/>
          <w:p>
            <w:pPr>
              <w:pStyle w:val="Compact"/>
              <w:bidi/>
              <w:jc w:val="left"/>
            </w:pPr>
            <w:r>
              <w:rPr>
                <w:b/>
                <w:bCs/>
                <w:rtl/>
              </w:rPr>
              <w:t xml:space="preserve">الحيازة</w:t>
            </w:r>
          </w:p>
        </w:tc>
        <w:tc>
          <w:tcPr/>
          <w:p>
            <w:pPr>
              <w:pStyle w:val="Compact"/>
              <w:bidi/>
              <w:jc w:val="left"/>
            </w:pPr>
            <w:r>
              <w:rPr>
                <w:rtl/>
              </w:rPr>
              <w:t xml:space="preserve">حقوق الملكية والحيازة والانتفاع، مسجلةً كانت أو عرفية</w:t>
            </w:r>
          </w:p>
        </w:tc>
      </w:tr>
      <w:tr>
        <w:tc>
          <w:tcPr/>
          <w:p>
            <w:pPr>
              <w:pStyle w:val="Compact"/>
              <w:bidi/>
              <w:jc w:val="left"/>
            </w:pPr>
            <w:r>
              <w:rPr>
                <w:b/>
                <w:bCs/>
                <w:rtl/>
              </w:rPr>
              <w:t xml:space="preserve">المساحة والكادستر</w:t>
            </w:r>
          </w:p>
        </w:tc>
        <w:tc>
          <w:tcPr/>
          <w:p>
            <w:pPr>
              <w:pStyle w:val="Compact"/>
              <w:bidi/>
              <w:jc w:val="left"/>
            </w:pPr>
            <w:r>
              <w:rPr>
                <w:rtl/>
              </w:rPr>
              <w:t xml:space="preserve">الحدود والمواقع والمساحات والخرائط</w:t>
            </w:r>
          </w:p>
        </w:tc>
      </w:tr>
      <w:tr>
        <w:tc>
          <w:tcPr/>
          <w:p>
            <w:pPr>
              <w:pStyle w:val="Compact"/>
              <w:bidi/>
              <w:jc w:val="left"/>
            </w:pPr>
            <w:r>
              <w:rPr>
                <w:b/>
                <w:bCs/>
                <w:rtl/>
              </w:rPr>
              <w:t xml:space="preserve">التسجيل</w:t>
            </w:r>
          </w:p>
        </w:tc>
        <w:tc>
          <w:tcPr/>
          <w:p>
            <w:pPr>
              <w:pStyle w:val="Compact"/>
              <w:bidi/>
              <w:jc w:val="left"/>
            </w:pPr>
            <w:r>
              <w:rPr>
                <w:rtl/>
              </w:rPr>
              <w:t xml:space="preserve">توثيق الحقوق وإصدار السندات</w:t>
            </w:r>
          </w:p>
        </w:tc>
      </w:tr>
      <w:tr>
        <w:tc>
          <w:tcPr/>
          <w:p>
            <w:pPr>
              <w:pStyle w:val="Compact"/>
              <w:bidi/>
              <w:jc w:val="left"/>
            </w:pPr>
            <w:r>
              <w:rPr>
                <w:b/>
                <w:bCs/>
                <w:rtl/>
              </w:rPr>
              <w:t xml:space="preserve">تخطيط الاستعمالات</w:t>
            </w:r>
          </w:p>
        </w:tc>
        <w:tc>
          <w:tcPr/>
          <w:p>
            <w:pPr>
              <w:pStyle w:val="Compact"/>
              <w:bidi/>
              <w:jc w:val="left"/>
            </w:pPr>
            <w:r>
              <w:rPr>
                <w:rtl/>
              </w:rPr>
              <w:t xml:space="preserve">تحديد استعمال كل منطقة وضوابطه</w:t>
            </w:r>
          </w:p>
        </w:tc>
      </w:tr>
      <w:tr>
        <w:tc>
          <w:tcPr/>
          <w:p>
            <w:pPr>
              <w:pStyle w:val="Compact"/>
              <w:bidi/>
              <w:jc w:val="left"/>
            </w:pPr>
            <w:r>
              <w:rPr>
                <w:b/>
                <w:bCs/>
                <w:rtl/>
              </w:rPr>
              <w:t xml:space="preserve">التقييم</w:t>
            </w:r>
          </w:p>
        </w:tc>
        <w:tc>
          <w:tcPr/>
          <w:p>
            <w:pPr>
              <w:pStyle w:val="Compact"/>
              <w:bidi/>
              <w:jc w:val="left"/>
            </w:pPr>
            <w:r>
              <w:rPr>
                <w:rtl/>
              </w:rPr>
              <w:t xml:space="preserve">تقدير القيمة بمنهجيات مهنية</w:t>
            </w:r>
          </w:p>
        </w:tc>
      </w:tr>
      <w:tr>
        <w:tc>
          <w:tcPr/>
          <w:p>
            <w:pPr>
              <w:pStyle w:val="Compact"/>
              <w:bidi/>
              <w:jc w:val="left"/>
            </w:pPr>
            <w:r>
              <w:rPr>
                <w:b/>
                <w:bCs/>
                <w:rtl/>
              </w:rPr>
              <w:t xml:space="preserve">نظام المعلومات العقارية</w:t>
            </w:r>
          </w:p>
        </w:tc>
        <w:tc>
          <w:tcPr/>
          <w:p>
            <w:pPr>
              <w:pStyle w:val="Compact"/>
              <w:bidi/>
              <w:jc w:val="left"/>
            </w:pPr>
            <w:r>
              <w:rPr>
                <w:rtl/>
              </w:rPr>
              <w:t xml:space="preserve">قاعدة بيانات رقمية موحدة ومفتوحة</w:t>
            </w:r>
          </w:p>
        </w:tc>
      </w:tr>
      <w:tr>
        <w:tc>
          <w:tcPr/>
          <w:p>
            <w:pPr>
              <w:pStyle w:val="Compact"/>
              <w:bidi/>
              <w:jc w:val="left"/>
            </w:pPr>
            <w:r>
              <w:rPr>
                <w:b/>
                <w:bCs/>
                <w:rtl/>
              </w:rPr>
              <w:t xml:space="preserve">الإدارة المؤسسية</w:t>
            </w:r>
          </w:p>
        </w:tc>
        <w:tc>
          <w:tcPr/>
          <w:p>
            <w:pPr>
              <w:pStyle w:val="Compact"/>
              <w:bidi/>
              <w:jc w:val="left"/>
            </w:pPr>
            <w:r>
              <w:rPr>
                <w:rtl/>
              </w:rPr>
              <w:t xml:space="preserve">من يفعل ماذا، وكيف يُراقب</w:t>
            </w:r>
          </w:p>
        </w:tc>
      </w:tr>
      <w:tr>
        <w:tc>
          <w:tcPr/>
          <w:p>
            <w:pPr>
              <w:pStyle w:val="Compact"/>
              <w:bidi/>
              <w:jc w:val="left"/>
            </w:pPr>
            <w:r>
              <w:rPr>
                <w:b/>
                <w:bCs/>
                <w:rtl/>
              </w:rPr>
              <w:t xml:space="preserve">النقدنة</w:t>
            </w:r>
          </w:p>
        </w:tc>
        <w:tc>
          <w:tcPr/>
          <w:p>
            <w:pPr>
              <w:pStyle w:val="Compact"/>
              <w:bidi/>
              <w:jc w:val="left"/>
            </w:pPr>
            <w:r>
              <w:rPr>
                <w:rtl/>
              </w:rPr>
              <w:t xml:space="preserve">استخراج القيمة الاقتصادية حيث يكون ذلك مناسباً</w:t>
            </w:r>
          </w:p>
        </w:tc>
      </w:tr>
    </w:tbl>
    <w:p>
      <w:pPr>
        <w:pStyle w:val="BodyText"/>
        <w:bidi/>
      </w:pPr>
      <w:r>
        <w:rPr>
          <w:b/>
          <w:bCs/>
          <w:rtl/>
        </w:rPr>
        <w:t xml:space="preserve">والنقدنة هي المكون الثامن، لا الأول.</w:t>
      </w:r>
      <w:r>
        <w:rPr>
          <w:rtl/>
        </w:rPr>
        <w:t xml:space="preserve"> </w:t>
      </w:r>
      <w:r>
        <w:rPr>
          <w:rtl/>
        </w:rPr>
        <w:t xml:space="preserve">ومن يبدأ بها يبيع ما لا يعرف أنه يملكه.</w:t>
      </w:r>
    </w:p>
    <w:bookmarkEnd w:id="22"/>
    <w:bookmarkStart w:id="23" w:name="ثلاثة-أنواع-من-القيمة"/>
    <w:p>
      <w:pPr>
        <w:pStyle w:val="Heading2"/>
        <w:bidi/>
      </w:pPr>
      <w:r>
        <w:rPr>
          <w:rtl/>
        </w:rPr>
        <w:t xml:space="preserve">ثلاثة أنواع من القيمة</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النوع</w:t>
            </w:r>
          </w:p>
        </w:tc>
        <w:tc>
          <w:tcPr/>
          <w:p>
            <w:pPr>
              <w:pStyle w:val="Compact"/>
              <w:bidi/>
              <w:jc w:val="left"/>
            </w:pPr>
            <w:r>
              <w:rPr>
                <w:rtl/>
              </w:rPr>
              <w:t xml:space="preserve">معناه</w:t>
            </w:r>
          </w:p>
        </w:tc>
        <w:tc>
          <w:tcPr/>
          <w:p>
            <w:pPr>
              <w:pStyle w:val="Compact"/>
              <w:bidi/>
              <w:jc w:val="left"/>
            </w:pPr>
            <w:r>
              <w:rPr>
                <w:rtl/>
              </w:rPr>
              <w:t xml:space="preserve">مثال</w:t>
            </w:r>
          </w:p>
        </w:tc>
      </w:tr>
      <w:tr>
        <w:tc>
          <w:tcPr/>
          <w:p>
            <w:pPr>
              <w:pStyle w:val="Compact"/>
              <w:bidi/>
              <w:jc w:val="left"/>
            </w:pPr>
            <w:r>
              <w:rPr>
                <w:b/>
                <w:bCs/>
                <w:rtl/>
              </w:rPr>
              <w:t xml:space="preserve">القيمة السوقية</w:t>
            </w:r>
          </w:p>
        </w:tc>
        <w:tc>
          <w:tcPr/>
          <w:p>
            <w:pPr>
              <w:pStyle w:val="Compact"/>
              <w:bidi/>
              <w:jc w:val="left"/>
            </w:pPr>
            <w:r>
              <w:rPr>
                <w:rtl/>
              </w:rPr>
              <w:t xml:space="preserve">ما يدفعه مشترٍ راغب لبائع راغب</w:t>
            </w:r>
          </w:p>
        </w:tc>
        <w:tc>
          <w:tcPr/>
          <w:p>
            <w:pPr>
              <w:pStyle w:val="Compact"/>
              <w:bidi/>
              <w:jc w:val="left"/>
            </w:pPr>
            <w:r>
              <w:rPr>
                <w:rtl/>
              </w:rPr>
              <w:t xml:space="preserve">قطعة تجارية في وسط المدينة</w:t>
            </w:r>
          </w:p>
        </w:tc>
      </w:tr>
      <w:tr>
        <w:tc>
          <w:tcPr/>
          <w:p>
            <w:pPr>
              <w:pStyle w:val="Compact"/>
              <w:bidi/>
              <w:jc w:val="left"/>
            </w:pPr>
            <w:r>
              <w:rPr>
                <w:b/>
                <w:bCs/>
                <w:rtl/>
              </w:rPr>
              <w:t xml:space="preserve">القيمة الاقتصادية</w:t>
            </w:r>
          </w:p>
        </w:tc>
        <w:tc>
          <w:tcPr/>
          <w:p>
            <w:pPr>
              <w:pStyle w:val="Compact"/>
              <w:bidi/>
              <w:jc w:val="left"/>
            </w:pPr>
            <w:r>
              <w:rPr>
                <w:rtl/>
              </w:rPr>
              <w:t xml:space="preserve">ما تنتجه الأرض للاقتصاد على المدى الطويل</w:t>
            </w:r>
          </w:p>
        </w:tc>
        <w:tc>
          <w:tcPr/>
          <w:p>
            <w:pPr>
              <w:pStyle w:val="Compact"/>
              <w:bidi/>
              <w:jc w:val="left"/>
            </w:pPr>
            <w:r>
              <w:rPr>
                <w:rtl/>
              </w:rPr>
              <w:t xml:space="preserve">أرض زراعية مروية تشغّل آلافاً</w:t>
            </w:r>
          </w:p>
        </w:tc>
      </w:tr>
      <w:tr>
        <w:tc>
          <w:tcPr/>
          <w:p>
            <w:pPr>
              <w:pStyle w:val="Compact"/>
              <w:bidi/>
              <w:jc w:val="left"/>
            </w:pPr>
            <w:r>
              <w:rPr>
                <w:b/>
                <w:bCs/>
                <w:rtl/>
              </w:rPr>
              <w:t xml:space="preserve">القيمة الاجتماعية والبيئية والسيادية</w:t>
            </w:r>
          </w:p>
        </w:tc>
        <w:tc>
          <w:tcPr/>
          <w:p>
            <w:pPr>
              <w:pStyle w:val="Compact"/>
              <w:bidi/>
              <w:jc w:val="left"/>
            </w:pPr>
            <w:r>
              <w:rPr>
                <w:rtl/>
              </w:rPr>
              <w:t xml:space="preserve">وظائف لا تُسعَّر</w:t>
            </w:r>
          </w:p>
        </w:tc>
        <w:tc>
          <w:tcPr/>
          <w:p>
            <w:pPr>
              <w:pStyle w:val="Compact"/>
              <w:bidi/>
              <w:jc w:val="left"/>
            </w:pPr>
            <w:r>
              <w:rPr>
                <w:rtl/>
              </w:rPr>
              <w:t xml:space="preserve">ضفة نيل، مسار رعوي، حزام أخضر، أرض حدودية</w:t>
            </w:r>
          </w:p>
        </w:tc>
      </w:tr>
    </w:tbl>
    <w:p>
      <w:pPr>
        <w:pStyle w:val="BodyText"/>
        <w:bidi/>
      </w:pPr>
      <w:r>
        <w:rPr>
          <w:b/>
          <w:bCs/>
          <w:rtl/>
        </w:rPr>
        <w:t xml:space="preserve">والقيمة السوقية لا تساوي دائماً القيمة الوطنية.</w:t>
      </w:r>
      <w:r>
        <w:rPr>
          <w:rtl/>
        </w:rPr>
        <w:t xml:space="preserve"> </w:t>
      </w:r>
      <w:r>
        <w:rPr>
          <w:rtl/>
        </w:rPr>
        <w:t xml:space="preserve">وهذا التمييز هو ما يحسم السؤال: هل نبيع هذه القطعة أصلاً؟</w:t>
      </w:r>
    </w:p>
    <w:p>
      <w:pPr>
        <w:bidi/>
      </w:pPr>
      <w:r>
        <w:rPr>
          <w:rtl/>
        </w:rPr>
        <w:br w:type="page"/>
      </w:r>
    </w:p>
    <w:bookmarkEnd w:id="23"/>
    <w:bookmarkEnd w:id="24"/>
    <w:bookmarkStart w:id="25" w:name="ثانيا-المشكلة"/>
    <w:p>
      <w:pPr>
        <w:pStyle w:val="Heading1"/>
        <w:bidi/>
      </w:pPr>
      <w:r>
        <w:rPr>
          <w:rtl/>
        </w:rPr>
        <w:t xml:space="preserve">ثانياً: المشكلة</w:t>
      </w:r>
    </w:p>
    <w:p>
      <w:pPr>
        <w:pStyle w:val="Compact"/>
        <w:numPr>
          <w:ilvl w:val="0"/>
          <w:numId w:val="1001"/>
        </w:numPr>
        <w:bidi/>
      </w:pPr>
      <w:r>
        <w:rPr>
          <w:b/>
          <w:bCs/>
          <w:rtl/>
        </w:rPr>
        <w:t xml:space="preserve">الدولة لا تعرف ماذا تملك.</w:t>
      </w:r>
      <w:r>
        <w:rPr>
          <w:rtl/>
        </w:rPr>
        <w:t xml:space="preserve"> </w:t>
      </w:r>
      <w:r>
        <w:rPr>
          <w:rtl/>
        </w:rPr>
        <w:t xml:space="preserve">فلا حصر شاملاً ولا سجل موحداً ولا خرائط محدّثة.</w:t>
      </w:r>
    </w:p>
    <w:p>
      <w:pPr>
        <w:pStyle w:val="Compact"/>
        <w:numPr>
          <w:ilvl w:val="0"/>
          <w:numId w:val="1001"/>
        </w:numPr>
        <w:bidi/>
      </w:pPr>
      <w:r>
        <w:rPr>
          <w:b/>
          <w:bCs/>
          <w:rtl/>
        </w:rPr>
        <w:t xml:space="preserve">الأرض خارج الحسابات الوطنية.</w:t>
      </w:r>
      <w:r>
        <w:rPr>
          <w:rtl/>
        </w:rPr>
        <w:t xml:space="preserve"> </w:t>
      </w:r>
      <w:r>
        <w:rPr>
          <w:rtl/>
        </w:rPr>
        <w:t xml:space="preserve">فهي لا تظهر في ميزانية عمومية للدولة، ولا تدخل في تقدير الثروة الوطنية.</w:t>
      </w:r>
    </w:p>
    <w:p>
      <w:pPr>
        <w:pStyle w:val="Compact"/>
        <w:numPr>
          <w:ilvl w:val="0"/>
          <w:numId w:val="1001"/>
        </w:numPr>
        <w:bidi/>
      </w:pPr>
      <w:r>
        <w:rPr>
          <w:b/>
          <w:bCs/>
          <w:rtl/>
        </w:rPr>
        <w:t xml:space="preserve">التخصيص عشوائي ومعرّض للفساد.</w:t>
      </w:r>
      <w:r>
        <w:rPr>
          <w:rtl/>
        </w:rPr>
        <w:t xml:space="preserve"> </w:t>
      </w:r>
      <w:r>
        <w:rPr>
          <w:rtl/>
        </w:rPr>
        <w:t xml:space="preserve">فالقطع الجذابة في المدن ومحيطها تُخصص بقرارات إدارية، والفارق بين السعر الإداري والسعر الحقيقي يذهب إلى أفراد لا إلى الخزينة.</w:t>
      </w:r>
    </w:p>
    <w:p>
      <w:pPr>
        <w:pStyle w:val="Compact"/>
        <w:numPr>
          <w:ilvl w:val="0"/>
          <w:numId w:val="1001"/>
        </w:numPr>
        <w:bidi/>
      </w:pPr>
      <w:r>
        <w:rPr>
          <w:b/>
          <w:bCs/>
          <w:rtl/>
        </w:rPr>
        <w:t xml:space="preserve">مساحات واسعة ذات قيمة اقتصادية محتملة لا تُستغل ولا تُدار بما يتناسب مع إمكاناتها.</w:t>
      </w:r>
      <w:r>
        <w:rPr>
          <w:rtl/>
        </w:rPr>
        <w:t xml:space="preserve"> </w:t>
      </w:r>
      <w:r>
        <w:rPr>
          <w:b/>
          <w:bCs/>
          <w:rtl/>
        </w:rPr>
        <w:t xml:space="preserve">مع التمييز الضروري بين الأرض غير المستغلة والأرض التي تؤدي وظيفة رعوية أو بيئية أو اجتماعية</w:t>
      </w:r>
      <w:r>
        <w:rPr>
          <w:rtl/>
        </w:rPr>
        <w:t xml:space="preserve">، فالمرعى ليس أرضاً بوراً، والمسار الرعوي ليس فراغاً.</w:t>
      </w:r>
    </w:p>
    <w:p>
      <w:pPr>
        <w:pStyle w:val="Compact"/>
        <w:numPr>
          <w:ilvl w:val="0"/>
          <w:numId w:val="1001"/>
        </w:numPr>
        <w:bidi/>
      </w:pPr>
      <w:r>
        <w:rPr>
          <w:b/>
          <w:bCs/>
          <w:rtl/>
        </w:rPr>
        <w:t xml:space="preserve">الحقوق غير موثقة.</w:t>
      </w:r>
      <w:r>
        <w:rPr>
          <w:rtl/>
        </w:rPr>
        <w:t xml:space="preserve"> </w:t>
      </w:r>
      <w:r>
        <w:rPr>
          <w:rtl/>
        </w:rPr>
        <w:t xml:space="preserve">فغياب السجل يجعل كل تخصيص عرضة للطعن، وكل عودة نازحين عرضة للاشتباك.</w:t>
      </w:r>
    </w:p>
    <w:p>
      <w:pPr>
        <w:pStyle w:val="FirstParagraph"/>
        <w:bidi/>
      </w:pPr>
      <w:r>
        <w:rPr>
          <w:b/>
          <w:bCs/>
          <w:rtl/>
        </w:rPr>
        <w:t xml:space="preserve">والخلفية التشريعية:</w:t>
      </w:r>
      <w:r>
        <w:rPr>
          <w:rtl/>
        </w:rPr>
        <w:t xml:space="preserve"> </w:t>
      </w:r>
      <w:r>
        <w:rPr>
          <w:rtl/>
        </w:rPr>
        <w:t xml:space="preserve">نقل</w:t>
      </w:r>
      <w:r>
        <w:rPr>
          <w:rtl/>
        </w:rPr>
        <w:t xml:space="preserve"> </w:t>
      </w:r>
      <w:r>
        <w:rPr>
          <w:b/>
          <w:bCs/>
          <w:rtl/>
        </w:rPr>
        <w:t xml:space="preserve">قانون الأراضي غير المسجلة لسنة 1970</w:t>
      </w:r>
      <w:r>
        <w:rPr>
          <w:rtl/>
        </w:rPr>
        <w:t xml:space="preserve"> </w:t>
      </w:r>
      <w:r>
        <w:rPr>
          <w:rtl/>
        </w:rPr>
        <w:t xml:space="preserve">ملكية الأراضي غير المسجلة إلى الدولة، وترتب على ذلك أثر واسع على وضع الحيازات التقليدية.</w:t>
      </w:r>
      <w:r>
        <w:rPr>
          <w:rtl/>
        </w:rPr>
        <w:t xml:space="preserve"> </w:t>
      </w:r>
      <w:r>
        <w:rPr>
          <w:b/>
          <w:bCs/>
          <w:rtl/>
        </w:rPr>
        <w:t xml:space="preserve">وقد ربطت دراسات عديدة بين هذا الأثر وبين إضعاف حقوق المزارعين والرعاة والنزاع على التخصيصات</w:t>
      </w:r>
      <w:r>
        <w:rPr>
          <w:rtl/>
        </w:rPr>
        <w:t xml:space="preserve">، وهي علاقة تستحق التوثيق والدراسة لا التقرير المرسل.</w:t>
      </w:r>
    </w:p>
    <w:p>
      <w:pPr>
        <w:bidi/>
      </w:pPr>
      <w:r>
        <w:rPr>
          <w:rtl/>
        </w:rPr>
        <w:br w:type="page"/>
      </w:r>
    </w:p>
    <w:bookmarkEnd w:id="25"/>
    <w:bookmarkStart w:id="26" w:name="ثالثا-المبدأ-الأول"/>
    <w:p>
      <w:pPr>
        <w:pStyle w:val="Heading1"/>
        <w:bidi/>
      </w:pPr>
      <w:r>
        <w:rPr>
          <w:rtl/>
        </w:rPr>
        <w:t xml:space="preserve">ثالثاً: المبدأ الأول</w:t>
      </w:r>
    </w:p>
    <w:p>
      <w:pPr>
        <w:pStyle w:val="BlockText"/>
        <w:bidi/>
      </w:pPr>
      <w:r>
        <w:rPr>
          <w:b/>
          <w:bCs/>
          <w:rtl/>
        </w:rPr>
        <w:t xml:space="preserve">لا يجوز اعتبار أي أرض محلاً للتصرف أو النقدنة لمجرد عدم وجود سند مسجل عليها، قبل فحص الحقوق القانونية والعرفية والتاريخية القائمة عليها.</w:t>
      </w:r>
    </w:p>
    <w:p>
      <w:pPr>
        <w:pStyle w:val="FirstParagraph"/>
        <w:bidi/>
      </w:pPr>
      <w:r>
        <w:rPr>
          <w:b/>
          <w:bCs/>
          <w:rtl/>
        </w:rPr>
        <w:t xml:space="preserve">وفي الحواكير والحيازات العرفية:</w:t>
      </w:r>
      <w:r>
        <w:rPr>
          <w:rtl/>
        </w:rPr>
        <w:t xml:space="preserve"> </w:t>
      </w:r>
      <w:r>
        <w:rPr>
          <w:rtl/>
        </w:rPr>
        <w:t xml:space="preserve">لا تُعامل باعتبارها أرضاً عامة شاغرة لمجرد عدم تسجيلها،</w:t>
      </w:r>
      <w:r>
        <w:rPr>
          <w:rtl/>
        </w:rPr>
        <w:t xml:space="preserve"> </w:t>
      </w:r>
      <w:r>
        <w:rPr>
          <w:b/>
          <w:bCs/>
          <w:rtl/>
        </w:rPr>
        <w:t xml:space="preserve">وإنما تُفحص وتُثبت وتُحدد حدودها وأصحابها أو أصحاب المصلحة فيها وفق قانون وإجراءات معلنة، ثم تُسجَّل الحقوق التي تثبت صحتها</w:t>
      </w:r>
      <w:r>
        <w:rPr>
          <w:rtl/>
        </w:rPr>
        <w:t xml:space="preserve">، ويُعوَّض أو يُسوَّى ما لا يمكن تسجيله.</w:t>
      </w:r>
    </w:p>
    <w:p>
      <w:pPr>
        <w:bidi/>
      </w:pPr>
      <w:r>
        <w:rPr>
          <w:rtl/>
        </w:rPr>
        <w:br w:type="page"/>
      </w:r>
    </w:p>
    <w:bookmarkEnd w:id="26"/>
    <w:bookmarkStart w:id="27" w:name="رابعا-المحفظة-الوطنية-وفئاتها-الست"/>
    <w:p>
      <w:pPr>
        <w:pStyle w:val="Heading1"/>
        <w:bidi/>
      </w:pPr>
      <w:r>
        <w:rPr>
          <w:rtl/>
        </w:rPr>
        <w:t xml:space="preserve">رابعاً: المحفظة الوطنية وفئاتها الست</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الفئة</w:t>
            </w:r>
          </w:p>
        </w:tc>
        <w:tc>
          <w:tcPr/>
          <w:p>
            <w:pPr>
              <w:pStyle w:val="Compact"/>
              <w:bidi/>
              <w:jc w:val="left"/>
            </w:pPr>
            <w:r>
              <w:rPr>
                <w:rtl/>
              </w:rPr>
              <w:t xml:space="preserve">المعاملة</w:t>
            </w:r>
          </w:p>
        </w:tc>
      </w:tr>
      <w:tr>
        <w:tc>
          <w:tcPr/>
          <w:p>
            <w:pPr>
              <w:pStyle w:val="Compact"/>
              <w:bidi/>
              <w:jc w:val="left"/>
            </w:pPr>
            <w:r>
              <w:rPr>
                <w:b/>
                <w:bCs/>
                <w:rtl/>
              </w:rPr>
              <w:t xml:space="preserve">سيادية واستراتيجية</w:t>
            </w:r>
            <w:r>
              <w:rPr>
                <w:rtl/>
              </w:rPr>
              <w:t xml:space="preserve"> </w:t>
            </w:r>
            <w:r>
              <w:rPr>
                <w:rtl/>
              </w:rPr>
              <w:t xml:space="preserve">(منشآت الدولة، الحدود، الموارد المائية، الاحتياطي)</w:t>
            </w:r>
          </w:p>
        </w:tc>
        <w:tc>
          <w:tcPr/>
          <w:p>
            <w:pPr>
              <w:pStyle w:val="Compact"/>
              <w:bidi/>
              <w:jc w:val="left"/>
            </w:pPr>
            <w:r>
              <w:rPr>
                <w:b/>
                <w:bCs/>
                <w:rtl/>
              </w:rPr>
              <w:t xml:space="preserve">لا تُنقدن ولا تُباع</w:t>
            </w:r>
          </w:p>
        </w:tc>
      </w:tr>
      <w:tr>
        <w:tc>
          <w:tcPr/>
          <w:p>
            <w:pPr>
              <w:pStyle w:val="Compact"/>
              <w:bidi/>
              <w:jc w:val="left"/>
            </w:pPr>
            <w:r>
              <w:rPr>
                <w:b/>
                <w:bCs/>
                <w:rtl/>
              </w:rPr>
              <w:t xml:space="preserve">لازمة للخدمات</w:t>
            </w:r>
            <w:r>
              <w:rPr>
                <w:rtl/>
              </w:rPr>
              <w:t xml:space="preserve"> </w:t>
            </w:r>
            <w:r>
              <w:rPr>
                <w:rtl/>
              </w:rPr>
              <w:t xml:space="preserve">(مدارس، مستشفيات، طرق، مرافق، مقابر)</w:t>
            </w:r>
          </w:p>
        </w:tc>
        <w:tc>
          <w:tcPr/>
          <w:p>
            <w:pPr>
              <w:pStyle w:val="Compact"/>
              <w:bidi/>
              <w:jc w:val="left"/>
            </w:pPr>
            <w:r>
              <w:rPr>
                <w:rtl/>
              </w:rPr>
              <w:t xml:space="preserve">تُحفظ ولا تُخصص لغير غرضها</w:t>
            </w:r>
          </w:p>
        </w:tc>
      </w:tr>
      <w:tr>
        <w:tc>
          <w:tcPr/>
          <w:p>
            <w:pPr>
              <w:pStyle w:val="Compact"/>
              <w:bidi/>
              <w:jc w:val="left"/>
            </w:pPr>
            <w:r>
              <w:rPr>
                <w:b/>
                <w:bCs/>
                <w:rtl/>
              </w:rPr>
              <w:t xml:space="preserve">ذات حساسية بيئية أو زراعية، ومراعٍ ومسارات رعوية</w:t>
            </w:r>
          </w:p>
        </w:tc>
        <w:tc>
          <w:tcPr/>
          <w:p>
            <w:pPr>
              <w:pStyle w:val="Compact"/>
              <w:bidi/>
              <w:jc w:val="left"/>
            </w:pPr>
            <w:r>
              <w:rPr>
                <w:rtl/>
              </w:rPr>
              <w:t xml:space="preserve">تُحمى، ويجوز الانتفاع المنظم دون تغيير الاستعمال</w:t>
            </w:r>
          </w:p>
        </w:tc>
      </w:tr>
      <w:tr>
        <w:tc>
          <w:tcPr/>
          <w:p>
            <w:pPr>
              <w:pStyle w:val="Compact"/>
              <w:bidi/>
              <w:jc w:val="left"/>
            </w:pPr>
            <w:r>
              <w:rPr>
                <w:b/>
                <w:bCs/>
                <w:rtl/>
              </w:rPr>
              <w:t xml:space="preserve">خاضعة لحقوق عرفية أو حواكير أو حيازات قائمة</w:t>
            </w:r>
          </w:p>
        </w:tc>
        <w:tc>
          <w:tcPr/>
          <w:p>
            <w:pPr>
              <w:pStyle w:val="Compact"/>
              <w:bidi/>
              <w:jc w:val="left"/>
            </w:pPr>
            <w:r>
              <w:rPr>
                <w:b/>
                <w:bCs/>
                <w:rtl/>
              </w:rPr>
              <w:t xml:space="preserve">تُفحص وتُسجَّل باسم أصحابها أولاً، ولا تدخل النقدنة</w:t>
            </w:r>
          </w:p>
        </w:tc>
      </w:tr>
      <w:tr>
        <w:tc>
          <w:tcPr/>
          <w:p>
            <w:pPr>
              <w:pStyle w:val="Compact"/>
              <w:bidi/>
              <w:jc w:val="left"/>
            </w:pPr>
            <w:r>
              <w:rPr>
                <w:b/>
                <w:bCs/>
                <w:rtl/>
              </w:rPr>
              <w:t xml:space="preserve">متنازع عليها أو مطالب بها من عائدين</w:t>
            </w:r>
          </w:p>
        </w:tc>
        <w:tc>
          <w:tcPr/>
          <w:p>
            <w:pPr>
              <w:pStyle w:val="Compact"/>
              <w:bidi/>
              <w:jc w:val="left"/>
            </w:pPr>
            <w:r>
              <w:rPr>
                <w:b/>
                <w:bCs/>
                <w:rtl/>
              </w:rPr>
              <w:t xml:space="preserve">مجمّدة حتى تسوية الحقوق</w:t>
            </w:r>
          </w:p>
        </w:tc>
      </w:tr>
      <w:tr>
        <w:tc>
          <w:tcPr/>
          <w:p>
            <w:pPr>
              <w:pStyle w:val="Compact"/>
              <w:bidi/>
              <w:jc w:val="left"/>
            </w:pPr>
            <w:r>
              <w:rPr>
                <w:b/>
                <w:bCs/>
                <w:rtl/>
              </w:rPr>
              <w:t xml:space="preserve">فائضة أو غير مستغلة، خالية من الحقوق</w:t>
            </w:r>
          </w:p>
        </w:tc>
        <w:tc>
          <w:tcPr/>
          <w:p>
            <w:pPr>
              <w:pStyle w:val="Compact"/>
              <w:bidi/>
              <w:jc w:val="left"/>
            </w:pPr>
            <w:r>
              <w:rPr>
                <w:b/>
                <w:bCs/>
                <w:rtl/>
              </w:rPr>
              <w:t xml:space="preserve">وعاء النقدنة</w:t>
            </w:r>
          </w:p>
        </w:tc>
      </w:tr>
    </w:tbl>
    <w:p>
      <w:pPr>
        <w:bidi/>
      </w:pPr>
      <w:r>
        <w:rPr>
          <w:rtl/>
        </w:rPr>
        <w:br w:type="page"/>
      </w:r>
    </w:p>
    <w:bookmarkEnd w:id="27"/>
    <w:bookmarkStart w:id="28" w:name="خامسا-الحصر-والسجل-والترميز"/>
    <w:p>
      <w:pPr>
        <w:pStyle w:val="Heading1"/>
        <w:bidi/>
      </w:pPr>
      <w:r>
        <w:rPr>
          <w:rtl/>
        </w:rPr>
        <w:t xml:space="preserve">خامساً: الحصر والسجل والترميز</w:t>
      </w:r>
    </w:p>
    <w:p>
      <w:pPr>
        <w:pStyle w:val="FirstParagraph"/>
        <w:bidi/>
      </w:pPr>
      <w:r>
        <w:rPr>
          <w:rtl/>
        </w:rPr>
        <w:t xml:space="preserve">تُقسَّم الأراضي العامة إلى</w:t>
      </w:r>
      <w:r>
        <w:rPr>
          <w:rtl/>
        </w:rPr>
        <w:t xml:space="preserve"> </w:t>
      </w:r>
      <w:r>
        <w:rPr>
          <w:b/>
          <w:bCs/>
          <w:rtl/>
        </w:rPr>
        <w:t xml:space="preserve">قطع مرقمة</w:t>
      </w:r>
      <w:r>
        <w:rPr>
          <w:rtl/>
        </w:rPr>
        <w:t xml:space="preserve"> </w:t>
      </w:r>
      <w:r>
        <w:rPr>
          <w:rtl/>
        </w:rPr>
        <w:t xml:space="preserve">على خريطة رقمية موحدة، لكل قطعة</w:t>
      </w:r>
      <w:r>
        <w:rPr>
          <w:rtl/>
        </w:rPr>
        <w:t xml:space="preserve"> </w:t>
      </w:r>
      <w:r>
        <w:rPr>
          <w:b/>
          <w:bCs/>
          <w:rtl/>
        </w:rPr>
        <w:t xml:space="preserve">رقم وطني دائم</w:t>
      </w:r>
      <w:r>
        <w:rPr>
          <w:rtl/>
        </w:rPr>
        <w:t xml:space="preserve"> </w:t>
      </w:r>
      <w:r>
        <w:rPr>
          <w:rtl/>
        </w:rPr>
        <w:t xml:space="preserve">يربط سجلها القانوني بقيمتها واستعمالها.</w:t>
      </w:r>
      <w:r>
        <w:rPr>
          <w:rtl/>
        </w:rPr>
        <w:t xml:space="preserve"> </w:t>
      </w:r>
      <w:r>
        <w:rPr>
          <w:b/>
          <w:bCs/>
          <w:rtl/>
        </w:rPr>
        <w:t xml:space="preserve">وبيانات كل قطعة:</w:t>
      </w:r>
      <w:r>
        <w:rPr>
          <w:rtl/>
        </w:rPr>
        <w:t xml:space="preserve"> </w:t>
      </w:r>
      <w:r>
        <w:rPr>
          <w:rtl/>
        </w:rPr>
        <w:t xml:space="preserve">الموقع والحدود والمساحة؛ والإقليم والمحلية؛ والوضع القانوني؛ والاستعمال المخطط؛ والخدمات المتاحة؛ والقيود (ارتفاق، نزاع، حماية بيئية، قرب منشأة سيادية)؛ والقيمة وتاريخ تقييمها.</w:t>
      </w:r>
    </w:p>
    <w:p>
      <w:pPr>
        <w:pStyle w:val="BodyText"/>
        <w:bidi/>
      </w:pPr>
      <w:r>
        <w:rPr>
          <w:b/>
          <w:bCs/>
          <w:rtl/>
        </w:rPr>
        <w:t xml:space="preserve">والسجل مفتوح:</w:t>
      </w:r>
      <w:r>
        <w:rPr>
          <w:rtl/>
        </w:rPr>
        <w:t xml:space="preserve"> </w:t>
      </w:r>
      <w:r>
        <w:rPr>
          <w:rtl/>
        </w:rPr>
        <w:t xml:space="preserve">لكل مواطن أن يرى رقم القطعة ومساحتها وتصنيفها وقيمتها ومن خُصصت له وبأي مقابل، مع حماية البيانات الشخصية.</w:t>
      </w:r>
    </w:p>
    <w:p>
      <w:pPr>
        <w:bidi/>
      </w:pPr>
      <w:r>
        <w:rPr>
          <w:rtl/>
        </w:rPr>
        <w:br w:type="page"/>
      </w:r>
    </w:p>
    <w:bookmarkEnd w:id="28"/>
    <w:bookmarkStart w:id="29" w:name="سادسا-إطار-التقييم"/>
    <w:p>
      <w:pPr>
        <w:pStyle w:val="Heading1"/>
        <w:bidi/>
      </w:pPr>
      <w:r>
        <w:rPr>
          <w:rtl/>
        </w:rPr>
        <w:t xml:space="preserve">سادساً: إطار التقييم</w:t>
      </w:r>
    </w:p>
    <w:p>
      <w:pPr>
        <w:pStyle w:val="FirstParagraph"/>
        <w:bidi/>
      </w:pPr>
      <w:r>
        <w:rPr>
          <w:b/>
          <w:bCs/>
          <w:rtl/>
        </w:rPr>
        <w:t xml:space="preserve">لا تُقيَّم الأرض بأوزان موحدة</w:t>
      </w:r>
      <w:r>
        <w:rPr>
          <w:rtl/>
        </w:rPr>
        <w:t xml:space="preserve">، وإنما بمنهجيات مهنية تختلف بحسب فئتها:</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الفئة</w:t>
            </w:r>
          </w:p>
        </w:tc>
        <w:tc>
          <w:tcPr/>
          <w:p>
            <w:pPr>
              <w:pStyle w:val="Compact"/>
              <w:bidi/>
              <w:jc w:val="left"/>
            </w:pPr>
            <w:r>
              <w:rPr>
                <w:rtl/>
              </w:rPr>
              <w:t xml:space="preserve">المنهجيات</w:t>
            </w:r>
          </w:p>
        </w:tc>
      </w:tr>
      <w:tr>
        <w:tc>
          <w:tcPr/>
          <w:p>
            <w:pPr>
              <w:pStyle w:val="Compact"/>
              <w:bidi/>
              <w:jc w:val="left"/>
            </w:pPr>
            <w:r>
              <w:rPr>
                <w:b/>
                <w:bCs/>
                <w:rtl/>
              </w:rPr>
              <w:t xml:space="preserve">حضرية</w:t>
            </w:r>
          </w:p>
        </w:tc>
        <w:tc>
          <w:tcPr/>
          <w:p>
            <w:pPr>
              <w:pStyle w:val="Compact"/>
              <w:bidi/>
              <w:jc w:val="left"/>
            </w:pPr>
            <w:r>
              <w:rPr>
                <w:rtl/>
              </w:rPr>
              <w:t xml:space="preserve">مقارنة المبيعات؛ والقيمة المتبقية؛ ورسملة الدخل؛ وأفضل استعمال ممكن</w:t>
            </w:r>
          </w:p>
        </w:tc>
      </w:tr>
      <w:tr>
        <w:tc>
          <w:tcPr/>
          <w:p>
            <w:pPr>
              <w:pStyle w:val="Compact"/>
              <w:bidi/>
              <w:jc w:val="left"/>
            </w:pPr>
            <w:r>
              <w:rPr>
                <w:b/>
                <w:bCs/>
                <w:rtl/>
              </w:rPr>
              <w:t xml:space="preserve">زراعية</w:t>
            </w:r>
          </w:p>
        </w:tc>
        <w:tc>
          <w:tcPr/>
          <w:p>
            <w:pPr>
              <w:pStyle w:val="Compact"/>
              <w:bidi/>
              <w:jc w:val="left"/>
            </w:pPr>
            <w:r>
              <w:rPr>
                <w:rtl/>
              </w:rPr>
              <w:t xml:space="preserve">الإنتاجية؛ والمياه؛ والتربة؛ والوصول إلى الأسواق؛ والمقارنات</w:t>
            </w:r>
          </w:p>
        </w:tc>
      </w:tr>
      <w:tr>
        <w:tc>
          <w:tcPr/>
          <w:p>
            <w:pPr>
              <w:pStyle w:val="Compact"/>
              <w:bidi/>
              <w:jc w:val="left"/>
            </w:pPr>
            <w:r>
              <w:rPr>
                <w:b/>
                <w:bCs/>
                <w:rtl/>
              </w:rPr>
              <w:t xml:space="preserve">صناعية</w:t>
            </w:r>
          </w:p>
        </w:tc>
        <w:tc>
          <w:tcPr/>
          <w:p>
            <w:pPr>
              <w:pStyle w:val="Compact"/>
              <w:bidi/>
              <w:jc w:val="left"/>
            </w:pPr>
            <w:r>
              <w:rPr>
                <w:rtl/>
              </w:rPr>
              <w:t xml:space="preserve">الوصول؛ والكهرباء والمياه؛ والنقل؛ والاستعمال المسموح</w:t>
            </w:r>
          </w:p>
        </w:tc>
      </w:tr>
      <w:tr>
        <w:tc>
          <w:tcPr/>
          <w:p>
            <w:pPr>
              <w:pStyle w:val="Compact"/>
              <w:bidi/>
              <w:jc w:val="left"/>
            </w:pPr>
            <w:r>
              <w:rPr>
                <w:b/>
                <w:bCs/>
                <w:rtl/>
              </w:rPr>
              <w:t xml:space="preserve">سياحية</w:t>
            </w:r>
          </w:p>
        </w:tc>
        <w:tc>
          <w:tcPr/>
          <w:p>
            <w:pPr>
              <w:pStyle w:val="Compact"/>
              <w:bidi/>
              <w:jc w:val="left"/>
            </w:pPr>
            <w:r>
              <w:rPr>
                <w:rtl/>
              </w:rPr>
              <w:t xml:space="preserve">الموقع والجاذبية؛ والوصول؛ والطاقة الاستيعابية؛ وضوابط التخطيط</w:t>
            </w:r>
          </w:p>
        </w:tc>
      </w:tr>
      <w:tr>
        <w:tc>
          <w:tcPr/>
          <w:p>
            <w:pPr>
              <w:pStyle w:val="Compact"/>
              <w:bidi/>
              <w:jc w:val="left"/>
            </w:pPr>
            <w:r>
              <w:rPr>
                <w:b/>
                <w:bCs/>
                <w:rtl/>
              </w:rPr>
              <w:t xml:space="preserve">مختلطة</w:t>
            </w:r>
          </w:p>
        </w:tc>
        <w:tc>
          <w:tcPr/>
          <w:p>
            <w:pPr>
              <w:pStyle w:val="Compact"/>
              <w:bidi/>
              <w:jc w:val="left"/>
            </w:pPr>
            <w:r>
              <w:rPr>
                <w:rtl/>
              </w:rPr>
              <w:t xml:space="preserve">قاعدة أفضل استعمال ممكن</w:t>
            </w:r>
          </w:p>
        </w:tc>
      </w:tr>
    </w:tbl>
    <w:p>
      <w:pPr>
        <w:pStyle w:val="BodyText"/>
        <w:bidi/>
      </w:pPr>
      <w:r>
        <w:rPr>
          <w:b/>
          <w:bCs/>
          <w:rtl/>
        </w:rPr>
        <w:t xml:space="preserve">وتضع الهيئة الوطنية للتقييم العقاري منهجيات تفصيلية لكل فئة، وتنشرها وتراجعها دورياً.</w:t>
      </w:r>
      <w:r>
        <w:rPr>
          <w:rtl/>
        </w:rPr>
        <w:t xml:space="preserve"> </w:t>
      </w:r>
      <w:r>
        <w:rPr>
          <w:rtl/>
        </w:rPr>
        <w:t xml:space="preserve">وتُنشر جداول قيم المناطق، وتُحدَّث كل سنتين أو عند تغير جوهري في الخدمات أو الاستعمال.</w:t>
      </w:r>
      <w:r>
        <w:rPr>
          <w:rtl/>
        </w:rPr>
        <w:t xml:space="preserve"> </w:t>
      </w:r>
      <w:r>
        <w:rPr>
          <w:b/>
          <w:bCs/>
          <w:rtl/>
        </w:rPr>
        <w:t xml:space="preserve">والقيمة المنشورة حد أدنى للتفاوض لا سعر نهائي</w:t>
      </w:r>
      <w:r>
        <w:rPr>
          <w:rtl/>
        </w:rPr>
        <w:t xml:space="preserve">، والسعر يحدده التنافس.</w:t>
      </w:r>
    </w:p>
    <w:p>
      <w:pPr>
        <w:bidi/>
      </w:pPr>
      <w:r>
        <w:rPr>
          <w:rtl/>
        </w:rPr>
        <w:br w:type="page"/>
      </w:r>
    </w:p>
    <w:bookmarkEnd w:id="29"/>
    <w:bookmarkStart w:id="30" w:name="سابعا-أدوات-توليد-الدخل"/>
    <w:p>
      <w:pPr>
        <w:pStyle w:val="Heading1"/>
        <w:bidi/>
      </w:pPr>
      <w:r>
        <w:rPr>
          <w:rtl/>
        </w:rPr>
        <w:t xml:space="preserve">سابعاً: أدوات توليد الدخل</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w:t>
            </w:r>
          </w:p>
        </w:tc>
        <w:tc>
          <w:tcPr/>
          <w:p>
            <w:pPr>
              <w:pStyle w:val="Compact"/>
              <w:bidi/>
              <w:jc w:val="left"/>
            </w:pPr>
            <w:r>
              <w:rPr>
                <w:rtl/>
              </w:rPr>
              <w:t xml:space="preserve">الأداة</w:t>
            </w:r>
          </w:p>
        </w:tc>
        <w:tc>
          <w:tcPr/>
          <w:p>
            <w:pPr>
              <w:pStyle w:val="Compact"/>
              <w:bidi/>
              <w:jc w:val="left"/>
            </w:pPr>
            <w:r>
              <w:rPr>
                <w:rtl/>
              </w:rPr>
              <w:t xml:space="preserve">الملكية</w:t>
            </w:r>
          </w:p>
        </w:tc>
      </w:tr>
      <w:tr>
        <w:tc>
          <w:tcPr/>
          <w:p>
            <w:pPr>
              <w:pStyle w:val="Compact"/>
              <w:bidi/>
              <w:jc w:val="left"/>
            </w:pPr>
            <w:r>
              <w:rPr>
                <w:rtl/>
              </w:rPr>
              <w:t xml:space="preserve">1</w:t>
            </w:r>
          </w:p>
        </w:tc>
        <w:tc>
          <w:tcPr/>
          <w:p>
            <w:pPr>
              <w:pStyle w:val="Compact"/>
              <w:bidi/>
              <w:jc w:val="left"/>
            </w:pPr>
            <w:r>
              <w:rPr>
                <w:b/>
                <w:bCs/>
                <w:rtl/>
              </w:rPr>
              <w:t xml:space="preserve">استرداد القيمة</w:t>
            </w:r>
            <w:r>
              <w:rPr>
                <w:rtl/>
              </w:rPr>
              <w:t xml:space="preserve">: رسوم تطوير وتحسين وتغيير استعمال على من ارتفعت قيمة أرضه بفعل استثمار الدولة</w:t>
            </w:r>
          </w:p>
        </w:tc>
        <w:tc>
          <w:tcPr/>
          <w:p>
            <w:pPr>
              <w:pStyle w:val="Compact"/>
              <w:bidi/>
              <w:jc w:val="left"/>
            </w:pPr>
            <w:r>
              <w:rPr>
                <w:rtl/>
              </w:rPr>
              <w:t xml:space="preserve">تبقى للمالك</w:t>
            </w:r>
          </w:p>
        </w:tc>
      </w:tr>
      <w:tr>
        <w:tc>
          <w:tcPr/>
          <w:p>
            <w:pPr>
              <w:pStyle w:val="Compact"/>
              <w:bidi/>
              <w:jc w:val="left"/>
            </w:pPr>
            <w:r>
              <w:rPr>
                <w:rtl/>
              </w:rPr>
              <w:t xml:space="preserve">2</w:t>
            </w:r>
          </w:p>
        </w:tc>
        <w:tc>
          <w:tcPr/>
          <w:p>
            <w:pPr>
              <w:pStyle w:val="Compact"/>
              <w:bidi/>
              <w:jc w:val="left"/>
            </w:pPr>
            <w:r>
              <w:rPr>
                <w:b/>
                <w:bCs/>
                <w:rtl/>
              </w:rPr>
              <w:t xml:space="preserve">الإيجار وحق الانتفاع طويل الأجل</w:t>
            </w:r>
          </w:p>
        </w:tc>
        <w:tc>
          <w:tcPr/>
          <w:p>
            <w:pPr>
              <w:pStyle w:val="Compact"/>
              <w:bidi/>
              <w:jc w:val="left"/>
            </w:pPr>
            <w:r>
              <w:rPr>
                <w:b/>
                <w:bCs/>
                <w:rtl/>
              </w:rPr>
              <w:t xml:space="preserve">تبقى للدولة</w:t>
            </w:r>
          </w:p>
        </w:tc>
      </w:tr>
      <w:tr>
        <w:tc>
          <w:tcPr/>
          <w:p>
            <w:pPr>
              <w:pStyle w:val="Compact"/>
              <w:bidi/>
              <w:jc w:val="left"/>
            </w:pPr>
            <w:r>
              <w:rPr>
                <w:rtl/>
              </w:rPr>
              <w:t xml:space="preserve">3</w:t>
            </w:r>
          </w:p>
        </w:tc>
        <w:tc>
          <w:tcPr/>
          <w:p>
            <w:pPr>
              <w:pStyle w:val="Compact"/>
              <w:bidi/>
              <w:jc w:val="left"/>
            </w:pPr>
            <w:r>
              <w:rPr>
                <w:b/>
                <w:bCs/>
                <w:rtl/>
              </w:rPr>
              <w:t xml:space="preserve">المساهمة بالأرض حصةً في شراكة</w:t>
            </w:r>
          </w:p>
        </w:tc>
        <w:tc>
          <w:tcPr/>
          <w:p>
            <w:pPr>
              <w:pStyle w:val="Compact"/>
              <w:bidi/>
              <w:jc w:val="left"/>
            </w:pPr>
            <w:r>
              <w:rPr>
                <w:rtl/>
              </w:rPr>
              <w:t xml:space="preserve">تبقى للدولة أو تتحول إلى حصة</w:t>
            </w:r>
          </w:p>
        </w:tc>
      </w:tr>
      <w:tr>
        <w:tc>
          <w:tcPr/>
          <w:p>
            <w:pPr>
              <w:pStyle w:val="Compact"/>
              <w:bidi/>
              <w:jc w:val="left"/>
            </w:pPr>
            <w:r>
              <w:rPr>
                <w:rtl/>
              </w:rPr>
              <w:t xml:space="preserve">4</w:t>
            </w:r>
          </w:p>
        </w:tc>
        <w:tc>
          <w:tcPr/>
          <w:p>
            <w:pPr>
              <w:pStyle w:val="Compact"/>
              <w:bidi/>
              <w:jc w:val="left"/>
            </w:pPr>
            <w:r>
              <w:rPr>
                <w:b/>
                <w:bCs/>
                <w:rtl/>
              </w:rPr>
              <w:t xml:space="preserve">حقوق البناء والكثافة</w:t>
            </w:r>
          </w:p>
        </w:tc>
        <w:tc>
          <w:tcPr/>
          <w:p>
            <w:pPr>
              <w:pStyle w:val="Compact"/>
              <w:bidi/>
              <w:jc w:val="left"/>
            </w:pPr>
            <w:r>
              <w:rPr>
                <w:rtl/>
              </w:rPr>
              <w:t xml:space="preserve">تبقى للمالك</w:t>
            </w:r>
          </w:p>
        </w:tc>
      </w:tr>
      <w:tr>
        <w:tc>
          <w:tcPr/>
          <w:p>
            <w:pPr>
              <w:pStyle w:val="Compact"/>
              <w:bidi/>
              <w:jc w:val="left"/>
            </w:pPr>
            <w:r>
              <w:rPr>
                <w:rtl/>
              </w:rPr>
              <w:t xml:space="preserve">5</w:t>
            </w:r>
          </w:p>
        </w:tc>
        <w:tc>
          <w:tcPr/>
          <w:p>
            <w:pPr>
              <w:pStyle w:val="Compact"/>
              <w:bidi/>
              <w:jc w:val="left"/>
            </w:pPr>
            <w:r>
              <w:rPr>
                <w:b/>
                <w:bCs/>
                <w:rtl/>
              </w:rPr>
              <w:t xml:space="preserve">تجميع الأراضي وإعادة تقسيمها</w:t>
            </w:r>
          </w:p>
        </w:tc>
        <w:tc>
          <w:tcPr/>
          <w:p>
            <w:pPr>
              <w:pStyle w:val="Compact"/>
              <w:bidi/>
              <w:jc w:val="left"/>
            </w:pPr>
            <w:r>
              <w:rPr>
                <w:rtl/>
              </w:rPr>
              <w:t xml:space="preserve">مشتركة</w:t>
            </w:r>
          </w:p>
        </w:tc>
      </w:tr>
      <w:tr>
        <w:tc>
          <w:tcPr/>
          <w:p>
            <w:pPr>
              <w:pStyle w:val="Compact"/>
              <w:bidi/>
              <w:jc w:val="left"/>
            </w:pPr>
            <w:r>
              <w:rPr>
                <w:rtl/>
              </w:rPr>
              <w:t xml:space="preserve">6</w:t>
            </w:r>
          </w:p>
        </w:tc>
        <w:tc>
          <w:tcPr/>
          <w:p>
            <w:pPr>
              <w:pStyle w:val="Compact"/>
              <w:bidi/>
              <w:jc w:val="left"/>
            </w:pPr>
            <w:r>
              <w:rPr>
                <w:b/>
                <w:bCs/>
                <w:rtl/>
              </w:rPr>
              <w:t xml:space="preserve">البيع</w:t>
            </w:r>
          </w:p>
        </w:tc>
        <w:tc>
          <w:tcPr/>
          <w:p>
            <w:pPr>
              <w:pStyle w:val="Compact"/>
              <w:bidi/>
              <w:jc w:val="left"/>
            </w:pPr>
            <w:r>
              <w:rPr>
                <w:b/>
                <w:bCs/>
                <w:rtl/>
              </w:rPr>
              <w:t xml:space="preserve">تُفقد نهائياً</w:t>
            </w:r>
          </w:p>
        </w:tc>
      </w:tr>
    </w:tbl>
    <w:p>
      <w:pPr>
        <w:pStyle w:val="BodyText"/>
        <w:bidi/>
      </w:pPr>
      <w:r>
        <w:rPr>
          <w:b/>
          <w:bCs/>
          <w:rtl/>
        </w:rPr>
        <w:t xml:space="preserve">وحق الانتفاع من أكثر الأدوات ملاءمة عندما يكون الهدف الاحتفاظ بالملكية العامة مع جذب استثمار طويل الأجل.</w:t>
      </w:r>
      <w:r>
        <w:rPr>
          <w:rtl/>
        </w:rPr>
        <w:t xml:space="preserve"> </w:t>
      </w:r>
      <w:r>
        <w:rPr>
          <w:rtl/>
        </w:rPr>
        <w:t xml:space="preserve">أما مدته فلا تُحدد برقم واحد، وإنما بالقاعدة:</w:t>
      </w:r>
      <w:r>
        <w:rPr>
          <w:rtl/>
        </w:rPr>
        <w:t xml:space="preserve"> </w:t>
      </w:r>
      <w:r>
        <w:rPr>
          <w:b/>
          <w:bCs/>
          <w:rtl/>
        </w:rPr>
        <w:t xml:space="preserve">مدة الحق = طبيعة الاستثمار + فترة استرداد رأس المال + هامش معقول للعائد.</w:t>
      </w:r>
      <w:r>
        <w:rPr>
          <w:rtl/>
        </w:rPr>
        <w:t xml:space="preserve"> </w:t>
      </w:r>
      <w:r>
        <w:rPr>
          <w:rtl/>
        </w:rPr>
        <w:t xml:space="preserve">فمشروع سياحي كبير قد يحتاج خمسين سنة، ومشروع صغير قد يكفيه خمس عشرة.</w:t>
      </w:r>
    </w:p>
    <w:p>
      <w:pPr>
        <w:pStyle w:val="BodyText"/>
        <w:bidi/>
      </w:pPr>
      <w:r>
        <w:rPr>
          <w:b/>
          <w:bCs/>
          <w:rtl/>
        </w:rPr>
        <w:t xml:space="preserve">وبدل الانتفاع</w:t>
      </w:r>
      <w:r>
        <w:rPr>
          <w:rtl/>
        </w:rPr>
        <w:t xml:space="preserve"> </w:t>
      </w:r>
      <w:r>
        <w:rPr>
          <w:rtl/>
        </w:rPr>
        <w:t xml:space="preserve">يُحدد بتقييم مستقل ومنهجية سوقية تختلف بحسب نوع الأرض ومدتها واستعمالها ومخاطر الاستثمار،</w:t>
      </w:r>
      <w:r>
        <w:rPr>
          <w:rtl/>
        </w:rPr>
        <w:t xml:space="preserve"> </w:t>
      </w:r>
      <w:r>
        <w:rPr>
          <w:b/>
          <w:bCs/>
          <w:rtl/>
        </w:rPr>
        <w:t xml:space="preserve">مع آلية مراجعة دورية</w:t>
      </w:r>
      <w:r>
        <w:rPr>
          <w:rtl/>
        </w:rPr>
        <w:t xml:space="preserve">. ويُفضَّل تركيبه من</w:t>
      </w:r>
      <w:r>
        <w:rPr>
          <w:rtl/>
        </w:rPr>
        <w:t xml:space="preserve"> </w:t>
      </w:r>
      <w:r>
        <w:rPr>
          <w:b/>
          <w:bCs/>
          <w:rtl/>
        </w:rPr>
        <w:t xml:space="preserve">بدل أساسي ثابت + حصة متغيرة من الإيراد</w:t>
      </w:r>
      <w:r>
        <w:rPr>
          <w:rtl/>
        </w:rPr>
        <w:t xml:space="preserve">، فيتقاسم الطرفان النجاح والمخاطرة.</w:t>
      </w:r>
    </w:p>
    <w:p>
      <w:pPr>
        <w:bidi/>
      </w:pPr>
      <w:r>
        <w:rPr>
          <w:rtl/>
        </w:rPr>
        <w:br w:type="page"/>
      </w:r>
    </w:p>
    <w:bookmarkEnd w:id="30"/>
    <w:bookmarkStart w:id="31" w:name="ثامنا-اختبار-المصلحة-العامة"/>
    <w:p>
      <w:pPr>
        <w:pStyle w:val="Heading1"/>
        <w:bidi/>
      </w:pPr>
      <w:r>
        <w:rPr>
          <w:rtl/>
        </w:rPr>
        <w:t xml:space="preserve">ثامناً: اختبار المصلحة العامة</w:t>
      </w:r>
    </w:p>
    <w:p>
      <w:pPr>
        <w:pStyle w:val="FirstParagraph"/>
        <w:bidi/>
      </w:pPr>
      <w:r>
        <w:rPr>
          <w:b/>
          <w:bCs/>
          <w:rtl/>
        </w:rPr>
        <w:t xml:space="preserve">لا يُتصرف في أي أصل عقاري عام كبير إلا بعد اجتياز اختبار معلن يجيب عن اثني عشر سؤالاً:</w:t>
      </w:r>
    </w:p>
    <w:p>
      <w:pPr>
        <w:pStyle w:val="Compact"/>
        <w:numPr>
          <w:ilvl w:val="0"/>
          <w:numId w:val="1002"/>
        </w:numPr>
        <w:bidi/>
      </w:pPr>
      <w:r>
        <w:rPr>
          <w:rtl/>
        </w:rPr>
        <w:t xml:space="preserve">هل الأرض فائضة فعلاً؟</w:t>
      </w:r>
    </w:p>
    <w:p>
      <w:pPr>
        <w:pStyle w:val="Compact"/>
        <w:numPr>
          <w:ilvl w:val="0"/>
          <w:numId w:val="1002"/>
        </w:numPr>
        <w:bidi/>
      </w:pPr>
      <w:r>
        <w:rPr>
          <w:rtl/>
        </w:rPr>
        <w:t xml:space="preserve">هل لها وظيفة استراتيجية أو سيادية؟</w:t>
      </w:r>
    </w:p>
    <w:p>
      <w:pPr>
        <w:pStyle w:val="Compact"/>
        <w:numPr>
          <w:ilvl w:val="0"/>
          <w:numId w:val="1002"/>
        </w:numPr>
        <w:bidi/>
      </w:pPr>
      <w:r>
        <w:rPr>
          <w:rtl/>
        </w:rPr>
        <w:t xml:space="preserve">هل عليها حقوق قائمة أو مطالبات؟</w:t>
      </w:r>
    </w:p>
    <w:p>
      <w:pPr>
        <w:pStyle w:val="Compact"/>
        <w:numPr>
          <w:ilvl w:val="0"/>
          <w:numId w:val="1002"/>
        </w:numPr>
        <w:bidi/>
      </w:pPr>
      <w:r>
        <w:rPr>
          <w:rtl/>
        </w:rPr>
        <w:t xml:space="preserve">هل تحتاجها الدولة لمشروع عام بديل؟</w:t>
      </w:r>
    </w:p>
    <w:p>
      <w:pPr>
        <w:pStyle w:val="Compact"/>
        <w:numPr>
          <w:ilvl w:val="0"/>
          <w:numId w:val="1002"/>
        </w:numPr>
        <w:bidi/>
      </w:pPr>
      <w:r>
        <w:rPr>
          <w:rtl/>
        </w:rPr>
        <w:t xml:space="preserve">ما قيمتها السوقية؟</w:t>
      </w:r>
    </w:p>
    <w:p>
      <w:pPr>
        <w:pStyle w:val="Compact"/>
        <w:numPr>
          <w:ilvl w:val="0"/>
          <w:numId w:val="1002"/>
        </w:numPr>
        <w:bidi/>
      </w:pPr>
      <w:r>
        <w:rPr>
          <w:rtl/>
        </w:rPr>
        <w:t xml:space="preserve">ما قيمتها الاجتماعية والبيئية؟</w:t>
      </w:r>
    </w:p>
    <w:p>
      <w:pPr>
        <w:pStyle w:val="Compact"/>
        <w:numPr>
          <w:ilvl w:val="0"/>
          <w:numId w:val="1002"/>
        </w:numPr>
        <w:bidi/>
      </w:pPr>
      <w:r>
        <w:rPr>
          <w:rtl/>
        </w:rPr>
        <w:t xml:space="preserve">ما كلفة الفرصة البديلة؟</w:t>
      </w:r>
    </w:p>
    <w:p>
      <w:pPr>
        <w:pStyle w:val="Compact"/>
        <w:numPr>
          <w:ilvl w:val="0"/>
          <w:numId w:val="1002"/>
        </w:numPr>
        <w:bidi/>
      </w:pPr>
      <w:r>
        <w:rPr>
          <w:rtl/>
        </w:rPr>
        <w:t xml:space="preserve">هل الإيجار أفضل من البيع؟</w:t>
      </w:r>
    </w:p>
    <w:p>
      <w:pPr>
        <w:pStyle w:val="Compact"/>
        <w:numPr>
          <w:ilvl w:val="0"/>
          <w:numId w:val="1002"/>
        </w:numPr>
        <w:bidi/>
      </w:pPr>
      <w:r>
        <w:rPr>
          <w:rtl/>
        </w:rPr>
        <w:t xml:space="preserve">هل الشراكة أفضل من الاثنين؟</w:t>
      </w:r>
    </w:p>
    <w:p>
      <w:pPr>
        <w:pStyle w:val="Compact"/>
        <w:numPr>
          <w:ilvl w:val="0"/>
          <w:numId w:val="1002"/>
        </w:numPr>
        <w:bidi/>
      </w:pPr>
      <w:r>
        <w:rPr>
          <w:rtl/>
        </w:rPr>
        <w:t xml:space="preserve">ما مآل قيمتها بعد عشر إلى عشرين سنة؟</w:t>
      </w:r>
    </w:p>
    <w:p>
      <w:pPr>
        <w:pStyle w:val="Compact"/>
        <w:numPr>
          <w:ilvl w:val="0"/>
          <w:numId w:val="1002"/>
        </w:numPr>
        <w:bidi/>
      </w:pPr>
      <w:r>
        <w:rPr>
          <w:rtl/>
        </w:rPr>
        <w:t xml:space="preserve">من المستفيد النهائي؟</w:t>
      </w:r>
    </w:p>
    <w:p>
      <w:pPr>
        <w:pStyle w:val="Compact"/>
        <w:numPr>
          <w:ilvl w:val="0"/>
          <w:numId w:val="1002"/>
        </w:numPr>
        <w:bidi/>
      </w:pPr>
      <w:r>
        <w:rPr>
          <w:rtl/>
        </w:rPr>
        <w:t xml:space="preserve">أين تذهب الحصيلة؟</w:t>
      </w:r>
    </w:p>
    <w:p>
      <w:pPr>
        <w:pStyle w:val="FirstParagraph"/>
        <w:bidi/>
      </w:pPr>
      <w:r>
        <w:rPr>
          <w:b/>
          <w:bCs/>
          <w:rtl/>
        </w:rPr>
        <w:t xml:space="preserve">وتُنشر نتيجة الاختبار قبل الطرح بثلاثين يوماً</w:t>
      </w:r>
      <w:r>
        <w:rPr>
          <w:rtl/>
        </w:rPr>
        <w:t xml:space="preserve">، ويجوز الاعتراض عليها.</w:t>
      </w:r>
    </w:p>
    <w:p>
      <w:pPr>
        <w:bidi/>
      </w:pPr>
      <w:r>
        <w:rPr>
          <w:rtl/>
        </w:rPr>
        <w:br w:type="page"/>
      </w:r>
    </w:p>
    <w:bookmarkEnd w:id="31"/>
    <w:bookmarkStart w:id="32" w:name="تاسعا-حق-الانتفاع-أصلا-قابلا-للتمويل"/>
    <w:p>
      <w:pPr>
        <w:pStyle w:val="Heading1"/>
        <w:bidi/>
      </w:pPr>
      <w:r>
        <w:rPr>
          <w:rtl/>
        </w:rPr>
        <w:t xml:space="preserve">تاسعاً: حق الانتفاع أصلاً قابلاً للتمويل</w:t>
      </w:r>
    </w:p>
    <w:p>
      <w:pPr>
        <w:pStyle w:val="FirstParagraph"/>
        <w:bidi/>
      </w:pPr>
      <w:r>
        <w:rPr>
          <w:b/>
          <w:bCs/>
          <w:rtl/>
        </w:rPr>
        <w:t xml:space="preserve">هنا الأثر الاقتصادي الأكبر:</w:t>
      </w:r>
      <w:r>
        <w:rPr>
          <w:rtl/>
        </w:rPr>
        <w:t xml:space="preserve"> </w:t>
      </w:r>
      <w:r>
        <w:rPr>
          <w:rtl/>
        </w:rPr>
        <w:t xml:space="preserve">المزارع أو الصناعي الذي يحمل</w:t>
      </w:r>
      <w:r>
        <w:rPr>
          <w:rtl/>
        </w:rPr>
        <w:t xml:space="preserve"> </w:t>
      </w:r>
      <w:r>
        <w:rPr>
          <w:b/>
          <w:bCs/>
          <w:rtl/>
        </w:rPr>
        <w:t xml:space="preserve">عقد انتفاع مسجلاً بقيمة معلومة ومدة محددة</w:t>
      </w:r>
      <w:r>
        <w:rPr>
          <w:rtl/>
        </w:rPr>
        <w:t xml:space="preserve"> </w:t>
      </w:r>
      <w:r>
        <w:rPr>
          <w:rtl/>
        </w:rPr>
        <w:t xml:space="preserve">يستطيع أن يقترض برهن</w:t>
      </w:r>
      <w:r>
        <w:rPr>
          <w:rtl/>
        </w:rPr>
        <w:t xml:space="preserve"> </w:t>
      </w:r>
      <w:r>
        <w:rPr>
          <w:b/>
          <w:bCs/>
          <w:rtl/>
        </w:rPr>
        <w:t xml:space="preserve">حقه في الانتفاع</w:t>
      </w:r>
      <w:r>
        <w:rPr>
          <w:rtl/>
        </w:rPr>
        <w:t xml:space="preserve"> </w:t>
      </w:r>
      <w:r>
        <w:rPr>
          <w:rtl/>
        </w:rPr>
        <w:t xml:space="preserve">لا رقبة الأرض. وبذلك يتحول رأس المال الميت إلى رأس مال حي.</w:t>
      </w:r>
    </w:p>
    <w:p>
      <w:pPr>
        <w:pStyle w:val="BodyText"/>
        <w:bidi/>
      </w:pPr>
      <w:r>
        <w:rPr>
          <w:b/>
          <w:bCs/>
          <w:rtl/>
        </w:rPr>
        <w:t xml:space="preserve">ولا يصبح حق الانتفاع قابلاً للرهن أو التداول إلا بعد أن يحسم القانون ثمانية أمور:</w:t>
      </w:r>
      <w:r>
        <w:rPr>
          <w:rtl/>
        </w:rPr>
        <w:t xml:space="preserve"> </w:t>
      </w:r>
      <w:r>
        <w:rPr>
          <w:rtl/>
        </w:rPr>
        <w:t xml:space="preserve">قابليته للرهن؛ وقابليته للتحويل وشروط موافقة الدولة؛ وأثر إفلاس المنتفع؛ وحق البنك في التنفيذ عليه؛ وانتقاله إلى منتفع بديل مؤهل؛ وترتيب حقوق الدولة والبنك والمنتفع؛ ومآل المنشآت عند انتهاء المدة؛ والتعويض إن وُجد.</w:t>
      </w:r>
    </w:p>
    <w:p>
      <w:pPr>
        <w:pStyle w:val="BodyText"/>
        <w:bidi/>
      </w:pPr>
      <w:r>
        <w:rPr>
          <w:b/>
          <w:bCs/>
          <w:rtl/>
        </w:rPr>
        <w:t xml:space="preserve">وعلى مستوى الدولة:</w:t>
      </w:r>
      <w:r>
        <w:rPr>
          <w:rtl/>
        </w:rPr>
        <w:t xml:space="preserve"> </w:t>
      </w:r>
      <w:r>
        <w:rPr>
          <w:rtl/>
        </w:rPr>
        <w:t xml:space="preserve">لا رهن سيادي للأرض العامة إلا بقانون،</w:t>
      </w:r>
      <w:r>
        <w:rPr>
          <w:rtl/>
        </w:rPr>
        <w:t xml:space="preserve"> </w:t>
      </w:r>
      <w:r>
        <w:rPr>
          <w:b/>
          <w:bCs/>
          <w:rtl/>
        </w:rPr>
        <w:t xml:space="preserve">ولا يجوز أن يترتب على التعثر نقل الملكية</w:t>
      </w:r>
      <w:r>
        <w:rPr>
          <w:rtl/>
        </w:rPr>
        <w:t xml:space="preserve">. أما إدراج قيمة المحفظة في الميزانية العمومية للدولة فيرفع صافي الثروة الوطنية ويحسّن الجدارة الائتمانية</w:t>
      </w:r>
      <w:r>
        <w:rPr>
          <w:rtl/>
        </w:rPr>
        <w:t xml:space="preserve"> </w:t>
      </w:r>
      <w:r>
        <w:rPr>
          <w:b/>
          <w:bCs/>
          <w:rtl/>
        </w:rPr>
        <w:t xml:space="preserve">دون رهن أي قطعة</w:t>
      </w:r>
      <w:r>
        <w:rPr>
          <w:rtl/>
        </w:rPr>
        <w:t xml:space="preserve">.</w:t>
      </w:r>
    </w:p>
    <w:p>
      <w:pPr>
        <w:bidi/>
      </w:pPr>
      <w:r>
        <w:rPr>
          <w:rtl/>
        </w:rPr>
        <w:br w:type="page"/>
      </w:r>
    </w:p>
    <w:bookmarkEnd w:id="32"/>
    <w:bookmarkStart w:id="33" w:name="عاشرا-التخصيص-والشفافية"/>
    <w:p>
      <w:pPr>
        <w:pStyle w:val="Heading1"/>
        <w:bidi/>
      </w:pPr>
      <w:r>
        <w:rPr>
          <w:rtl/>
        </w:rPr>
        <w:t xml:space="preserve">عاشراً: التخصيص والشفافية</w:t>
      </w:r>
    </w:p>
    <w:p>
      <w:pPr>
        <w:pStyle w:val="BlockText"/>
        <w:bidi/>
      </w:pPr>
      <w:r>
        <w:rPr>
          <w:b/>
          <w:bCs/>
          <w:rtl/>
        </w:rPr>
        <w:t xml:space="preserve">المنافسة المفتوحة الشفافة هي الأصل. والمزاد السعري أحد أشكالها الرئيسية، ويجوز استخدام طلبات العروض أو المنافسة الفنية والمالية في المشروعات التي تتطلب مؤهلات أو استثمارات متخصصة.</w:t>
      </w:r>
    </w:p>
    <w:p>
      <w:pPr>
        <w:pStyle w:val="FirstParagraph"/>
        <w:bidi/>
      </w:pPr>
      <w:r>
        <w:rPr>
          <w:rtl/>
        </w:rPr>
        <w:t xml:space="preserve">فالمزاد الأعلى سعراً ليس دائماً أفضل استعمال اقتصادي، خصوصاً في الأراضي الصناعية والزراعية ومشروعات البنية التحتية والشراكات.</w:t>
      </w:r>
    </w:p>
    <w:p>
      <w:pPr>
        <w:pStyle w:val="BodyText"/>
        <w:bidi/>
      </w:pPr>
      <w:r>
        <w:rPr>
          <w:b/>
          <w:bCs/>
          <w:rtl/>
        </w:rPr>
        <w:t xml:space="preserve">والضمانات:</w:t>
      </w:r>
      <w:r>
        <w:rPr>
          <w:rtl/>
        </w:rPr>
        <w:t xml:space="preserve"> </w:t>
      </w:r>
      <w:r>
        <w:rPr>
          <w:rtl/>
        </w:rPr>
        <w:t xml:space="preserve">سجل علني لكل قطعة في الوعاء؛ ونشر نتيجة كل تخصيص خلال ثلاثين يوماً مع</w:t>
      </w:r>
      <w:r>
        <w:rPr>
          <w:rtl/>
        </w:rPr>
        <w:t xml:space="preserve"> </w:t>
      </w:r>
      <w:r>
        <w:rPr>
          <w:b/>
          <w:bCs/>
          <w:rtl/>
        </w:rPr>
        <w:t xml:space="preserve">المستفيد الحقيقي</w:t>
      </w:r>
      <w:r>
        <w:rPr>
          <w:rtl/>
        </w:rPr>
        <w:t xml:space="preserve">؛ وحظر التعامل على ذوي الصلة وأقاربهم حتى الدرجة الثانية طوال الخدمة وثلاث سنوات بعدها؛ وشرط التنفيذ مع استرداد الأرض عند الإخلال؛ وحظر نقل الحق قبل التنفيذ واسترداد نسبة من ربح إعادة البيع المبكر؛ وضبط تغيير الاستعمال برسم استرداد قيمة؛ وتدقيق سنوي؛ وحق اعتراض عام؛ وحماية المبلّغين.</w:t>
      </w:r>
    </w:p>
    <w:p>
      <w:pPr>
        <w:pStyle w:val="BodyText"/>
        <w:bidi/>
      </w:pPr>
      <w:r>
        <w:rPr>
          <w:b/>
          <w:bCs/>
          <w:rtl/>
        </w:rPr>
        <w:t xml:space="preserve">وملكية الأجانب:</w:t>
      </w:r>
      <w:r>
        <w:rPr>
          <w:rtl/>
        </w:rPr>
        <w:t xml:space="preserve"> </w:t>
      </w:r>
      <w:r>
        <w:rPr>
          <w:rtl/>
        </w:rPr>
        <w:t xml:space="preserve">تخضع للقواعد الدستورية والقانونية المتعلقة بالسيادة والأمن الغذائي والاستثمار.</w:t>
      </w:r>
      <w:r>
        <w:rPr>
          <w:rtl/>
        </w:rPr>
        <w:t xml:space="preserve"> </w:t>
      </w:r>
      <w:r>
        <w:rPr>
          <w:b/>
          <w:bCs/>
          <w:rtl/>
        </w:rPr>
        <w:t xml:space="preserve">والأصل في الأراضي العامة الاستثمار طويل الأجل بحقوق محددة دون نقل الرقبة، ما لم يقرر القانون خلاف ذلك في فئات محددة.</w:t>
      </w:r>
    </w:p>
    <w:p>
      <w:pPr>
        <w:bidi/>
      </w:pPr>
      <w:r>
        <w:rPr>
          <w:rtl/>
        </w:rPr>
        <w:br w:type="page"/>
      </w:r>
    </w:p>
    <w:bookmarkEnd w:id="33"/>
    <w:bookmarkStart w:id="34" w:name="حادي-عشر-حقوق-النساء-والفئات-الهشة"/>
    <w:p>
      <w:pPr>
        <w:pStyle w:val="Heading1"/>
        <w:bidi/>
      </w:pPr>
      <w:r>
        <w:rPr>
          <w:rtl/>
        </w:rPr>
        <w:t xml:space="preserve">حادي عشر: حقوق النساء والفئات الهشة</w:t>
      </w:r>
    </w:p>
    <w:p>
      <w:pPr>
        <w:pStyle w:val="Compact"/>
        <w:numPr>
          <w:ilvl w:val="0"/>
          <w:numId w:val="1003"/>
        </w:numPr>
        <w:bidi/>
      </w:pPr>
      <w:r>
        <w:rPr>
          <w:b/>
          <w:bCs/>
          <w:rtl/>
        </w:rPr>
        <w:t xml:space="preserve">تُسجَّل حقوق المرأة باسمها</w:t>
      </w:r>
      <w:r>
        <w:rPr>
          <w:rtl/>
        </w:rPr>
        <w:t xml:space="preserve">، ولا يُكتفى بتسجيل الأرض باسم رجل الأسرة إذا كانت هناك حقوق مشتركة.</w:t>
      </w:r>
    </w:p>
    <w:p>
      <w:pPr>
        <w:pStyle w:val="Compact"/>
        <w:numPr>
          <w:ilvl w:val="0"/>
          <w:numId w:val="1003"/>
        </w:numPr>
        <w:bidi/>
      </w:pPr>
      <w:r>
        <w:rPr>
          <w:b/>
          <w:bCs/>
          <w:rtl/>
        </w:rPr>
        <w:t xml:space="preserve">الملكية المشتركة بين الزوجين</w:t>
      </w:r>
      <w:r>
        <w:rPr>
          <w:rtl/>
        </w:rPr>
        <w:t xml:space="preserve"> </w:t>
      </w:r>
      <w:r>
        <w:rPr>
          <w:rtl/>
        </w:rPr>
        <w:t xml:space="preserve">تُسجَّل باسميهما معاً حيث يقوم سببها.</w:t>
      </w:r>
    </w:p>
    <w:p>
      <w:pPr>
        <w:pStyle w:val="Compact"/>
        <w:numPr>
          <w:ilvl w:val="0"/>
          <w:numId w:val="1003"/>
        </w:numPr>
        <w:bidi/>
      </w:pPr>
      <w:r>
        <w:rPr>
          <w:b/>
          <w:bCs/>
          <w:rtl/>
        </w:rPr>
        <w:t xml:space="preserve">الأرامل والنساء النازحات والأسر التي فقدت معيلها</w:t>
      </w:r>
      <w:r>
        <w:rPr>
          <w:rtl/>
        </w:rPr>
        <w:t xml:space="preserve"> </w:t>
      </w:r>
      <w:r>
        <w:rPr>
          <w:rtl/>
        </w:rPr>
        <w:t xml:space="preserve">لهن أولوية في التسوية والتسجيل وفي برامج الإسكان.</w:t>
      </w:r>
    </w:p>
    <w:p>
      <w:pPr>
        <w:pStyle w:val="Compact"/>
        <w:numPr>
          <w:ilvl w:val="0"/>
          <w:numId w:val="1003"/>
        </w:numPr>
        <w:bidi/>
      </w:pPr>
      <w:r>
        <w:rPr>
          <w:b/>
          <w:bCs/>
          <w:rtl/>
        </w:rPr>
        <w:t xml:space="preserve">حقوق البنات في الميراث</w:t>
      </w:r>
      <w:r>
        <w:rPr>
          <w:rtl/>
        </w:rPr>
        <w:t xml:space="preserve"> </w:t>
      </w:r>
      <w:r>
        <w:rPr>
          <w:rtl/>
        </w:rPr>
        <w:t xml:space="preserve">تُنفَّذ وفق القانون المعمول به، وتُزال العقبات الإدارية أمام تسجيلها.</w:t>
      </w:r>
    </w:p>
    <w:p>
      <w:pPr>
        <w:pStyle w:val="Compact"/>
        <w:numPr>
          <w:ilvl w:val="0"/>
          <w:numId w:val="1003"/>
        </w:numPr>
        <w:bidi/>
      </w:pPr>
      <w:r>
        <w:rPr>
          <w:b/>
          <w:bCs/>
          <w:rtl/>
        </w:rPr>
        <w:t xml:space="preserve">ذوو الإعاقة وكبار السن</w:t>
      </w:r>
      <w:r>
        <w:rPr>
          <w:rtl/>
        </w:rPr>
        <w:t xml:space="preserve"> </w:t>
      </w:r>
      <w:r>
        <w:rPr>
          <w:rtl/>
        </w:rPr>
        <w:t xml:space="preserve">تُيسَّر إجراءاتهم، وتُتاح خدمات متنقلة للتسجيل.</w:t>
      </w:r>
    </w:p>
    <w:p>
      <w:pPr>
        <w:pStyle w:val="Compact"/>
        <w:numPr>
          <w:ilvl w:val="0"/>
          <w:numId w:val="1003"/>
        </w:numPr>
        <w:bidi/>
      </w:pPr>
      <w:r>
        <w:rPr>
          <w:b/>
          <w:bCs/>
          <w:rtl/>
        </w:rPr>
        <w:t xml:space="preserve">تُنشر سنوياً</w:t>
      </w:r>
      <w:r>
        <w:rPr>
          <w:rtl/>
        </w:rPr>
        <w:t xml:space="preserve"> </w:t>
      </w:r>
      <w:r>
        <w:rPr>
          <w:rtl/>
        </w:rPr>
        <w:t xml:space="preserve">نسبة النساء المسجَّلات أصحاب حقوق، بوصفها مؤشراً رسمياً.</w:t>
      </w:r>
    </w:p>
    <w:p>
      <w:pPr>
        <w:bidi/>
      </w:pPr>
      <w:r>
        <w:rPr>
          <w:rtl/>
        </w:rPr>
        <w:br w:type="page"/>
      </w:r>
    </w:p>
    <w:bookmarkEnd w:id="34"/>
    <w:bookmarkStart w:id="35" w:name="X4b6ba7ab80819e39ed1fb9b4ac5c6a8bfa8a316"/>
    <w:p>
      <w:pPr>
        <w:pStyle w:val="Heading1"/>
        <w:bidi/>
      </w:pPr>
      <w:r>
        <w:rPr>
          <w:rtl/>
        </w:rPr>
        <w:t xml:space="preserve">ثاني عشر: النازحون والعائدون: هيئة تسوية ورد الحقوق</w:t>
      </w:r>
    </w:p>
    <w:p>
      <w:pPr>
        <w:pStyle w:val="FirstParagraph"/>
        <w:bidi/>
      </w:pPr>
      <w:r>
        <w:rPr>
          <w:rtl/>
        </w:rPr>
        <w:t xml:space="preserve">بعد الحرب ستتكرر حالة تتداخل فيها ثلاثة أطراف على القطعة نفسها:</w:t>
      </w:r>
      <w:r>
        <w:rPr>
          <w:rtl/>
        </w:rPr>
        <w:t xml:space="preserve"> </w:t>
      </w:r>
      <w:r>
        <w:rPr>
          <w:b/>
          <w:bCs/>
          <w:rtl/>
        </w:rPr>
        <w:t xml:space="preserve">مالك أصلي، وواضع يد حالي، ومستثمر حصل على تخصيص أثناء الحرب.</w:t>
      </w:r>
      <w:r>
        <w:rPr>
          <w:rtl/>
        </w:rPr>
        <w:t xml:space="preserve"> </w:t>
      </w:r>
      <w:r>
        <w:rPr>
          <w:rtl/>
        </w:rPr>
        <w:t xml:space="preserve">ولا يكفي تجميد الأرض.</w:t>
      </w:r>
    </w:p>
    <w:p>
      <w:pPr>
        <w:pStyle w:val="BodyText"/>
        <w:bidi/>
      </w:pPr>
      <w:r>
        <w:rPr>
          <w:b/>
          <w:bCs/>
          <w:rtl/>
        </w:rPr>
        <w:t xml:space="preserve">لذلك تُنشأ هيئة تسوية ورد الحقوق العقارية</w:t>
      </w:r>
      <w:r>
        <w:rPr>
          <w:rtl/>
        </w:rPr>
        <w:t xml:space="preserve">، بمهام:</w:t>
      </w:r>
    </w:p>
    <w:p>
      <w:pPr>
        <w:pStyle w:val="Compact"/>
        <w:numPr>
          <w:ilvl w:val="0"/>
          <w:numId w:val="1004"/>
        </w:numPr>
        <w:bidi/>
      </w:pPr>
      <w:r>
        <w:rPr>
          <w:b/>
          <w:bCs/>
          <w:rtl/>
        </w:rPr>
        <w:t xml:space="preserve">رد الحق الأصلي</w:t>
      </w:r>
      <w:r>
        <w:rPr>
          <w:rtl/>
        </w:rPr>
        <w:t xml:space="preserve"> </w:t>
      </w:r>
      <w:r>
        <w:rPr>
          <w:rtl/>
        </w:rPr>
        <w:t xml:space="preserve">حيث يثبت.</w:t>
      </w:r>
    </w:p>
    <w:p>
      <w:pPr>
        <w:pStyle w:val="Compact"/>
        <w:numPr>
          <w:ilvl w:val="0"/>
          <w:numId w:val="1004"/>
        </w:numPr>
        <w:bidi/>
      </w:pPr>
      <w:r>
        <w:rPr>
          <w:b/>
          <w:bCs/>
          <w:rtl/>
        </w:rPr>
        <w:t xml:space="preserve">التعويض</w:t>
      </w:r>
      <w:r>
        <w:rPr>
          <w:rtl/>
        </w:rPr>
        <w:t xml:space="preserve"> </w:t>
      </w:r>
      <w:r>
        <w:rPr>
          <w:rtl/>
        </w:rPr>
        <w:t xml:space="preserve">عند استحالة الرد عيناً.</w:t>
      </w:r>
    </w:p>
    <w:p>
      <w:pPr>
        <w:pStyle w:val="Compact"/>
        <w:numPr>
          <w:ilvl w:val="0"/>
          <w:numId w:val="1004"/>
        </w:numPr>
        <w:bidi/>
      </w:pPr>
      <w:r>
        <w:rPr>
          <w:b/>
          <w:bCs/>
          <w:rtl/>
        </w:rPr>
        <w:t xml:space="preserve">تسوية تعدد المطالبات</w:t>
      </w:r>
      <w:r>
        <w:rPr>
          <w:rtl/>
        </w:rPr>
        <w:t xml:space="preserve"> </w:t>
      </w:r>
      <w:r>
        <w:rPr>
          <w:rtl/>
        </w:rPr>
        <w:t xml:space="preserve">على القطعة الواحدة بقواعد معلنة.</w:t>
      </w:r>
    </w:p>
    <w:p>
      <w:pPr>
        <w:pStyle w:val="Compact"/>
        <w:numPr>
          <w:ilvl w:val="0"/>
          <w:numId w:val="1004"/>
        </w:numPr>
        <w:bidi/>
      </w:pPr>
      <w:r>
        <w:rPr>
          <w:b/>
          <w:bCs/>
          <w:rtl/>
        </w:rPr>
        <w:t xml:space="preserve">حماية واضع اليد حسن النية</w:t>
      </w:r>
      <w:r>
        <w:rPr>
          <w:rtl/>
        </w:rPr>
        <w:t xml:space="preserve"> </w:t>
      </w:r>
      <w:r>
        <w:rPr>
          <w:rtl/>
        </w:rPr>
        <w:t xml:space="preserve">وفق القانون، دون أن يكتسب ملكية بالغصب.</w:t>
      </w:r>
    </w:p>
    <w:p>
      <w:pPr>
        <w:pStyle w:val="Compact"/>
        <w:numPr>
          <w:ilvl w:val="0"/>
          <w:numId w:val="1004"/>
        </w:numPr>
        <w:bidi/>
      </w:pPr>
      <w:r>
        <w:rPr>
          <w:b/>
          <w:bCs/>
          <w:rtl/>
        </w:rPr>
        <w:t xml:space="preserve">إبطال التخصيصات التي تمت أثناء الحرب</w:t>
      </w:r>
      <w:r>
        <w:rPr>
          <w:rtl/>
        </w:rPr>
        <w:t xml:space="preserve"> </w:t>
      </w:r>
      <w:r>
        <w:rPr>
          <w:rtl/>
        </w:rPr>
        <w:t xml:space="preserve">في مناطق النزوح، ما لم تثبت سلامتها.</w:t>
      </w:r>
    </w:p>
    <w:p>
      <w:pPr>
        <w:pStyle w:val="Compact"/>
        <w:numPr>
          <w:ilvl w:val="0"/>
          <w:numId w:val="1004"/>
        </w:numPr>
        <w:bidi/>
      </w:pPr>
      <w:r>
        <w:rPr>
          <w:b/>
          <w:bCs/>
          <w:rtl/>
        </w:rPr>
        <w:t xml:space="preserve">منع البيع والتصرف</w:t>
      </w:r>
      <w:r>
        <w:rPr>
          <w:rtl/>
        </w:rPr>
        <w:t xml:space="preserve"> </w:t>
      </w:r>
      <w:r>
        <w:rPr>
          <w:rtl/>
        </w:rPr>
        <w:t xml:space="preserve">في الأرض محل المطالبة حتى الفصل فيها.</w:t>
      </w:r>
    </w:p>
    <w:p>
      <w:pPr>
        <w:pStyle w:val="FirstParagraph"/>
        <w:bidi/>
      </w:pPr>
      <w:r>
        <w:rPr>
          <w:b/>
          <w:bCs/>
          <w:rtl/>
        </w:rPr>
        <w:t xml:space="preserve">وقراراتها مسببة وقابلة للطعن أمام القضاء</w:t>
      </w:r>
      <w:r>
        <w:rPr>
          <w:rtl/>
        </w:rPr>
        <w:t xml:space="preserve">، وتعمل بالتنسيق مع مفوضية الأراضي ومفوضية العدالة الانتقالية.</w:t>
      </w:r>
    </w:p>
    <w:p>
      <w:pPr>
        <w:bidi/>
      </w:pPr>
      <w:r>
        <w:rPr>
          <w:rtl/>
        </w:rPr>
        <w:br w:type="page"/>
      </w:r>
    </w:p>
    <w:bookmarkEnd w:id="35"/>
    <w:bookmarkStart w:id="36" w:name="ثالث-عشر-قاعدة-الإيراد"/>
    <w:p>
      <w:pPr>
        <w:pStyle w:val="Heading1"/>
        <w:bidi/>
      </w:pPr>
      <w:r>
        <w:rPr>
          <w:rtl/>
        </w:rPr>
        <w:t xml:space="preserve">ثالث عشر: قاعدة الإيراد</w:t>
      </w:r>
    </w:p>
    <w:p>
      <w:pPr>
        <w:pStyle w:val="BlockText"/>
        <w:bidi/>
      </w:pPr>
      <w:r>
        <w:rPr>
          <w:b/>
          <w:bCs/>
          <w:rtl/>
        </w:rPr>
        <w:t xml:space="preserve">تُوجَّه حصيلة التصرف في الأصول العقارية العامة، بعد خصم كلفة المعاملة والالتزامات القانونية، أساساً إلى تكوين أصول رأسمالية جديدة أو تمويل استثمارات عامة منتجة، ولا تُستخدم لتمويل الإنفاق الجاري إلا في حالات استثنائية يحددها القانون</w:t>
      </w:r>
      <w:r>
        <w:rPr>
          <w:rtl/>
        </w:rPr>
        <w:t xml:space="preserve"> </w:t>
      </w:r>
      <w:r>
        <w:rPr>
          <w:rtl/>
        </w:rPr>
        <w:t xml:space="preserve">(كارثة أو إعمار طارئ)، وبقرار من السلطة التشريعية، وبنسبة محددة.</w:t>
      </w:r>
    </w:p>
    <w:p>
      <w:pPr>
        <w:pStyle w:val="FirstParagraph"/>
        <w:bidi/>
      </w:pPr>
      <w:r>
        <w:rPr>
          <w:b/>
          <w:bCs/>
          <w:rtl/>
        </w:rPr>
        <w:t xml:space="preserve">ونصيب المستوى الإقليمي والمحلي</w:t>
      </w:r>
      <w:r>
        <w:rPr>
          <w:rtl/>
        </w:rPr>
        <w:t xml:space="preserve"> </w:t>
      </w:r>
      <w:r>
        <w:rPr>
          <w:rtl/>
        </w:rPr>
        <w:t xml:space="preserve">يحدده القانون،</w:t>
      </w:r>
      <w:r>
        <w:rPr>
          <w:rtl/>
        </w:rPr>
        <w:t xml:space="preserve"> </w:t>
      </w:r>
      <w:r>
        <w:rPr>
          <w:b/>
          <w:bCs/>
          <w:rtl/>
        </w:rPr>
        <w:t xml:space="preserve">لا بنسبة مقطوعة</w:t>
      </w:r>
      <w:r>
        <w:rPr>
          <w:rtl/>
        </w:rPr>
        <w:t xml:space="preserve">، وإنما بمعادلة من ثلاثة عناصر:</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العنصر</w:t>
            </w:r>
          </w:p>
        </w:tc>
        <w:tc>
          <w:tcPr/>
          <w:p>
            <w:pPr>
              <w:pStyle w:val="Compact"/>
              <w:bidi/>
              <w:jc w:val="left"/>
            </w:pPr>
            <w:r>
              <w:rPr>
                <w:rtl/>
              </w:rPr>
              <w:t xml:space="preserve">المضمون</w:t>
            </w:r>
          </w:p>
        </w:tc>
      </w:tr>
      <w:tr>
        <w:tc>
          <w:tcPr/>
          <w:p>
            <w:pPr>
              <w:pStyle w:val="Compact"/>
              <w:bidi/>
              <w:jc w:val="left"/>
            </w:pPr>
            <w:r>
              <w:rPr>
                <w:b/>
                <w:bCs/>
                <w:rtl/>
              </w:rPr>
              <w:t xml:space="preserve">نصيب أساسي</w:t>
            </w:r>
          </w:p>
        </w:tc>
        <w:tc>
          <w:tcPr/>
          <w:p>
            <w:pPr>
              <w:pStyle w:val="Compact"/>
              <w:bidi/>
              <w:jc w:val="left"/>
            </w:pPr>
            <w:r>
              <w:rPr>
                <w:rtl/>
              </w:rPr>
              <w:t xml:space="preserve">لكون الأرض واقعة في نطاق الإقليم</w:t>
            </w:r>
          </w:p>
        </w:tc>
      </w:tr>
      <w:tr>
        <w:tc>
          <w:tcPr/>
          <w:p>
            <w:pPr>
              <w:pStyle w:val="Compact"/>
              <w:bidi/>
              <w:jc w:val="left"/>
            </w:pPr>
            <w:r>
              <w:rPr>
                <w:b/>
                <w:bCs/>
                <w:rtl/>
              </w:rPr>
              <w:t xml:space="preserve">مقابل المساهمة في القيمة</w:t>
            </w:r>
          </w:p>
        </w:tc>
        <w:tc>
          <w:tcPr/>
          <w:p>
            <w:pPr>
              <w:pStyle w:val="Compact"/>
              <w:bidi/>
              <w:jc w:val="left"/>
            </w:pPr>
            <w:r>
              <w:rPr>
                <w:rtl/>
              </w:rPr>
              <w:t xml:space="preserve">بقدر ما قدمه المستوى المحلي من خدمات وبنية تحتية رفعت القيمة</w:t>
            </w:r>
          </w:p>
        </w:tc>
      </w:tr>
      <w:tr>
        <w:tc>
          <w:tcPr/>
          <w:p>
            <w:pPr>
              <w:pStyle w:val="Compact"/>
              <w:bidi/>
              <w:jc w:val="left"/>
            </w:pPr>
            <w:r>
              <w:rPr>
                <w:b/>
                <w:bCs/>
                <w:rtl/>
              </w:rPr>
              <w:t xml:space="preserve">مكوّن الموازنة</w:t>
            </w:r>
          </w:p>
        </w:tc>
        <w:tc>
          <w:tcPr/>
          <w:p>
            <w:pPr>
              <w:pStyle w:val="Compact"/>
              <w:bidi/>
              <w:jc w:val="left"/>
            </w:pPr>
            <w:r>
              <w:rPr>
                <w:rtl/>
              </w:rPr>
              <w:t xml:space="preserve">لتعويض الأقاليم الفقيرة التي لا تملك أراضي عالية القيمة</w:t>
            </w:r>
          </w:p>
        </w:tc>
      </w:tr>
    </w:tbl>
    <w:p>
      <w:pPr>
        <w:pStyle w:val="BodyText"/>
        <w:bidi/>
      </w:pPr>
      <w:r>
        <w:rPr>
          <w:b/>
          <w:bCs/>
          <w:rtl/>
        </w:rPr>
        <w:t xml:space="preserve">وتمييز لازم:</w:t>
      </w:r>
      <w:r>
        <w:rPr>
          <w:rtl/>
        </w:rPr>
        <w:t xml:space="preserve"> </w:t>
      </w:r>
      <w:r>
        <w:rPr>
          <w:rtl/>
        </w:rPr>
        <w:t xml:space="preserve">ما سبق يخص</w:t>
      </w:r>
      <w:r>
        <w:rPr>
          <w:rtl/>
        </w:rPr>
        <w:t xml:space="preserve"> </w:t>
      </w:r>
      <w:r>
        <w:rPr>
          <w:b/>
          <w:bCs/>
          <w:rtl/>
        </w:rPr>
        <w:t xml:space="preserve">عائد البيع والشراكات</w:t>
      </w:r>
      <w:r>
        <w:rPr>
          <w:rtl/>
        </w:rPr>
        <w:t xml:space="preserve">، أي تحويل أصل. أما</w:t>
      </w:r>
      <w:r>
        <w:rPr>
          <w:rtl/>
        </w:rPr>
        <w:t xml:space="preserve"> </w:t>
      </w:r>
      <w:r>
        <w:rPr>
          <w:b/>
          <w:bCs/>
          <w:rtl/>
        </w:rPr>
        <w:t xml:space="preserve">الإيجار السنوي المتجدد</w:t>
      </w:r>
      <w:r>
        <w:rPr>
          <w:rtl/>
        </w:rPr>
        <w:t xml:space="preserve"> </w:t>
      </w:r>
      <w:r>
        <w:rPr>
          <w:rtl/>
        </w:rPr>
        <w:t xml:space="preserve">فدخل لا تصفية، ويجوز إدراجه في الإيرادات العامة.</w:t>
      </w:r>
    </w:p>
    <w:p>
      <w:pPr>
        <w:bidi/>
      </w:pPr>
      <w:r>
        <w:rPr>
          <w:rtl/>
        </w:rPr>
        <w:br w:type="page"/>
      </w:r>
    </w:p>
    <w:bookmarkEnd w:id="36"/>
    <w:bookmarkStart w:id="37" w:name="Xf551c6124e382a857be5143bbffab9a4c9dd5b2"/>
    <w:p>
      <w:pPr>
        <w:pStyle w:val="Heading1"/>
        <w:bidi/>
      </w:pPr>
      <w:r>
        <w:rPr>
          <w:rtl/>
        </w:rPr>
        <w:t xml:space="preserve">رابع عشر: أراضي القوات المسلحة والأجهزة النظامية</w:t>
      </w:r>
    </w:p>
    <w:p>
      <w:pPr>
        <w:pStyle w:val="FirstParagraph"/>
        <w:bidi/>
      </w:pPr>
      <w:r>
        <w:rPr>
          <w:b/>
          <w:bCs/>
          <w:rtl/>
        </w:rPr>
        <w:t xml:space="preserve">تُسجَّل كل الأراضي التي تحتفظ بها القوات المسلحة والأجهزة النظامية في سجل خاص</w:t>
      </w:r>
      <w:r>
        <w:rPr>
          <w:rtl/>
        </w:rPr>
        <w:t xml:space="preserve">، يحدد لكل قطعة: وظيفتها التشغيلية، والجهة المستفيدة، ومدة الحاجة إليها.</w:t>
      </w:r>
      <w:r>
        <w:rPr>
          <w:rtl/>
        </w:rPr>
        <w:t xml:space="preserve"> </w:t>
      </w:r>
      <w:r>
        <w:rPr>
          <w:b/>
          <w:bCs/>
          <w:rtl/>
        </w:rPr>
        <w:t xml:space="preserve">ويُراجَع السجل دورياً، وتُنشر بياناته غير الحساسة</w:t>
      </w:r>
      <w:r>
        <w:rPr>
          <w:rtl/>
        </w:rPr>
        <w:t xml:space="preserve">، وتُستثنى من النشر المعلومات التي يبرر الأمن القومي حجبها بقرار مسبب.</w:t>
      </w:r>
    </w:p>
    <w:p>
      <w:pPr>
        <w:pStyle w:val="BodyText"/>
        <w:bidi/>
      </w:pPr>
      <w:r>
        <w:rPr>
          <w:b/>
          <w:bCs/>
          <w:rtl/>
        </w:rPr>
        <w:t xml:space="preserve">وما يزيد عن الحاجة التشغيلية المعلنة يؤول إلى المحفظة الوطنية.</w:t>
      </w:r>
      <w:r>
        <w:rPr>
          <w:rtl/>
        </w:rPr>
        <w:t xml:space="preserve"> </w:t>
      </w:r>
      <w:r>
        <w:rPr>
          <w:rtl/>
        </w:rPr>
        <w:t xml:space="preserve">ولا يجوز تخصيص أرض عامة لأي جهة عسكرية أو أمنية خارج تلك الحاجة، ولا استخدام أرضها في نشاط تجاري.</w:t>
      </w:r>
    </w:p>
    <w:p>
      <w:pPr>
        <w:bidi/>
      </w:pPr>
      <w:r>
        <w:rPr>
          <w:rtl/>
        </w:rPr>
        <w:br w:type="page"/>
      </w:r>
    </w:p>
    <w:bookmarkEnd w:id="37"/>
    <w:bookmarkStart w:id="38" w:name="خامس-عشر-الحوكمة"/>
    <w:p>
      <w:pPr>
        <w:pStyle w:val="Heading1"/>
        <w:bidi/>
      </w:pPr>
      <w:r>
        <w:rPr>
          <w:rtl/>
        </w:rPr>
        <w:t xml:space="preserve">خامس عشر: الحوكمة</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الجهة</w:t>
            </w:r>
          </w:p>
        </w:tc>
        <w:tc>
          <w:tcPr/>
          <w:p>
            <w:pPr>
              <w:pStyle w:val="Compact"/>
              <w:bidi/>
              <w:jc w:val="left"/>
            </w:pPr>
            <w:r>
              <w:rPr>
                <w:rtl/>
              </w:rPr>
              <w:t xml:space="preserve">الدور</w:t>
            </w:r>
          </w:p>
        </w:tc>
      </w:tr>
      <w:tr>
        <w:tc>
          <w:tcPr/>
          <w:p>
            <w:pPr>
              <w:pStyle w:val="Compact"/>
              <w:bidi/>
              <w:jc w:val="left"/>
            </w:pPr>
            <w:r>
              <w:rPr>
                <w:b/>
                <w:bCs/>
                <w:rtl/>
              </w:rPr>
              <w:t xml:space="preserve">مفوضية الأراضي</w:t>
            </w:r>
          </w:p>
        </w:tc>
        <w:tc>
          <w:tcPr/>
          <w:p>
            <w:pPr>
              <w:pStyle w:val="Compact"/>
              <w:bidi/>
              <w:jc w:val="left"/>
            </w:pPr>
            <w:r>
              <w:rPr>
                <w:rtl/>
              </w:rPr>
              <w:t xml:space="preserve">المعايير والمنهجيات، والإشراف على الفرز والتسوية، والرقابة.</w:t>
            </w:r>
            <w:r>
              <w:rPr>
                <w:rtl/>
              </w:rPr>
              <w:t xml:space="preserve"> </w:t>
            </w:r>
            <w:r>
              <w:rPr>
                <w:b/>
                <w:bCs/>
                <w:rtl/>
              </w:rPr>
              <w:t xml:space="preserve">ولا تبيع ولا تقيّم بنفسها</w:t>
            </w:r>
          </w:p>
        </w:tc>
      </w:tr>
      <w:tr>
        <w:tc>
          <w:tcPr/>
          <w:p>
            <w:pPr>
              <w:pStyle w:val="Compact"/>
              <w:bidi/>
              <w:jc w:val="left"/>
            </w:pPr>
            <w:r>
              <w:rPr>
                <w:b/>
                <w:bCs/>
                <w:rtl/>
              </w:rPr>
              <w:t xml:space="preserve">السجل العقاري القومي</w:t>
            </w:r>
          </w:p>
        </w:tc>
        <w:tc>
          <w:tcPr/>
          <w:p>
            <w:pPr>
              <w:pStyle w:val="Compact"/>
              <w:bidi/>
              <w:jc w:val="left"/>
            </w:pPr>
            <w:r>
              <w:rPr>
                <w:rtl/>
              </w:rPr>
              <w:t xml:space="preserve">التسجيل والتوثيق وإصدار السندات والأرقام الوطنية</w:t>
            </w:r>
          </w:p>
        </w:tc>
      </w:tr>
      <w:tr>
        <w:tc>
          <w:tcPr/>
          <w:p>
            <w:pPr>
              <w:pStyle w:val="Compact"/>
              <w:bidi/>
              <w:jc w:val="left"/>
            </w:pPr>
            <w:r>
              <w:rPr>
                <w:b/>
                <w:bCs/>
                <w:rtl/>
              </w:rPr>
              <w:t xml:space="preserve">الهيئة الوطنية للتقييم العقاري</w:t>
            </w:r>
          </w:p>
        </w:tc>
        <w:tc>
          <w:tcPr/>
          <w:p>
            <w:pPr>
              <w:pStyle w:val="Compact"/>
              <w:bidi/>
              <w:jc w:val="left"/>
            </w:pPr>
            <w:r>
              <w:rPr>
                <w:rtl/>
              </w:rPr>
              <w:t xml:space="preserve">منهجيات التقييم وجداول القيم، ومراجعة مستقلة لعينات</w:t>
            </w:r>
          </w:p>
        </w:tc>
      </w:tr>
      <w:tr>
        <w:tc>
          <w:tcPr/>
          <w:p>
            <w:pPr>
              <w:pStyle w:val="Compact"/>
              <w:bidi/>
              <w:jc w:val="left"/>
            </w:pPr>
            <w:r>
              <w:rPr>
                <w:b/>
                <w:bCs/>
                <w:rtl/>
              </w:rPr>
              <w:t xml:space="preserve">هيئة إدارة الأصول العقارية العامة</w:t>
            </w:r>
          </w:p>
        </w:tc>
        <w:tc>
          <w:tcPr/>
          <w:p>
            <w:pPr>
              <w:pStyle w:val="Compact"/>
              <w:bidi/>
              <w:jc w:val="left"/>
            </w:pPr>
            <w:r>
              <w:rPr>
                <w:rtl/>
              </w:rPr>
              <w:t xml:space="preserve">إدارة الوعاء: الطرح والعقود والتحصيل ومتابعة الالتزام</w:t>
            </w:r>
          </w:p>
        </w:tc>
      </w:tr>
      <w:tr>
        <w:tc>
          <w:tcPr/>
          <w:p>
            <w:pPr>
              <w:pStyle w:val="Compact"/>
              <w:bidi/>
              <w:jc w:val="left"/>
            </w:pPr>
            <w:r>
              <w:rPr>
                <w:b/>
                <w:bCs/>
                <w:rtl/>
              </w:rPr>
              <w:t xml:space="preserve">هيئة تسوية ورد الحقوق</w:t>
            </w:r>
          </w:p>
        </w:tc>
        <w:tc>
          <w:tcPr/>
          <w:p>
            <w:pPr>
              <w:pStyle w:val="Compact"/>
              <w:bidi/>
              <w:jc w:val="left"/>
            </w:pPr>
            <w:r>
              <w:rPr>
                <w:rtl/>
              </w:rPr>
              <w:t xml:space="preserve">مطالبات النازحين والعائدين وتعدد المطالبات</w:t>
            </w:r>
          </w:p>
        </w:tc>
      </w:tr>
      <w:tr>
        <w:tc>
          <w:tcPr/>
          <w:p>
            <w:pPr>
              <w:pStyle w:val="Compact"/>
              <w:bidi/>
              <w:jc w:val="left"/>
            </w:pPr>
            <w:r>
              <w:rPr>
                <w:b/>
                <w:bCs/>
                <w:rtl/>
              </w:rPr>
              <w:t xml:space="preserve">الأقاليم والمحليات</w:t>
            </w:r>
          </w:p>
        </w:tc>
        <w:tc>
          <w:tcPr/>
          <w:p>
            <w:pPr>
              <w:pStyle w:val="Compact"/>
              <w:bidi/>
              <w:jc w:val="left"/>
            </w:pPr>
            <w:r>
              <w:rPr>
                <w:rtl/>
              </w:rPr>
              <w:t xml:space="preserve">الترشيح والتخطيط العمراني، ونصيب من العائد</w:t>
            </w:r>
          </w:p>
        </w:tc>
      </w:tr>
      <w:tr>
        <w:tc>
          <w:tcPr/>
          <w:p>
            <w:pPr>
              <w:pStyle w:val="Compact"/>
              <w:bidi/>
              <w:jc w:val="left"/>
            </w:pPr>
            <w:r>
              <w:rPr>
                <w:b/>
                <w:bCs/>
                <w:rtl/>
              </w:rPr>
              <w:t xml:space="preserve">ديوان المراجعة والمكتب المركزي لمكافحة الفساد</w:t>
            </w:r>
          </w:p>
        </w:tc>
        <w:tc>
          <w:tcPr/>
          <w:p>
            <w:pPr>
              <w:pStyle w:val="Compact"/>
              <w:bidi/>
              <w:jc w:val="left"/>
            </w:pPr>
            <w:r>
              <w:rPr>
                <w:rtl/>
              </w:rPr>
              <w:t xml:space="preserve">التدقيق والتحري</w:t>
            </w:r>
          </w:p>
        </w:tc>
      </w:tr>
      <w:tr>
        <w:tc>
          <w:tcPr/>
          <w:p>
            <w:pPr>
              <w:pStyle w:val="Compact"/>
              <w:bidi/>
              <w:jc w:val="left"/>
            </w:pPr>
            <w:r>
              <w:rPr>
                <w:b/>
                <w:bCs/>
                <w:rtl/>
              </w:rPr>
              <w:t xml:space="preserve">القضاء</w:t>
            </w:r>
          </w:p>
        </w:tc>
        <w:tc>
          <w:tcPr/>
          <w:p>
            <w:pPr>
              <w:pStyle w:val="Compact"/>
              <w:bidi/>
              <w:jc w:val="left"/>
            </w:pPr>
            <w:r>
              <w:rPr>
                <w:rtl/>
              </w:rPr>
              <w:t xml:space="preserve">الطعون والنزاعات</w:t>
            </w:r>
          </w:p>
        </w:tc>
      </w:tr>
    </w:tbl>
    <w:p>
      <w:pPr>
        <w:pStyle w:val="BodyText"/>
        <w:bidi/>
      </w:pPr>
      <w:r>
        <w:rPr>
          <w:b/>
          <w:bCs/>
          <w:rtl/>
        </w:rPr>
        <w:t xml:space="preserve">والقاعدة:</w:t>
      </w:r>
      <w:r>
        <w:rPr>
          <w:rtl/>
        </w:rPr>
        <w:t xml:space="preserve"> </w:t>
      </w:r>
      <w:r>
        <w:rPr>
          <w:rtl/>
        </w:rPr>
        <w:t xml:space="preserve">من يقيّم لا يخصص، ومن يخصص لا يراقب، ومن يراقب لا يفعل الاثنين.</w:t>
      </w:r>
    </w:p>
    <w:p>
      <w:pPr>
        <w:bidi/>
      </w:pPr>
      <w:r>
        <w:rPr>
          <w:rtl/>
        </w:rPr>
        <w:br w:type="page"/>
      </w:r>
    </w:p>
    <w:bookmarkEnd w:id="38"/>
    <w:bookmarkStart w:id="39" w:name="سادس-عشر-التسلسل-والمؤشرات"/>
    <w:p>
      <w:pPr>
        <w:pStyle w:val="Heading1"/>
        <w:bidi/>
      </w:pPr>
      <w:r>
        <w:rPr>
          <w:rtl/>
        </w:rPr>
        <w:t xml:space="preserve">سادس عشر: التسلسل والمؤشرات</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المرحلة</w:t>
            </w:r>
          </w:p>
        </w:tc>
        <w:tc>
          <w:tcPr/>
          <w:p>
            <w:pPr>
              <w:pStyle w:val="Compact"/>
              <w:bidi/>
              <w:jc w:val="left"/>
            </w:pPr>
            <w:r>
              <w:rPr>
                <w:rtl/>
              </w:rPr>
              <w:t xml:space="preserve">الأشهر</w:t>
            </w:r>
          </w:p>
        </w:tc>
        <w:tc>
          <w:tcPr/>
          <w:p>
            <w:pPr>
              <w:pStyle w:val="Compact"/>
              <w:bidi/>
              <w:jc w:val="left"/>
            </w:pPr>
            <w:r>
              <w:rPr>
                <w:rtl/>
              </w:rPr>
              <w:t xml:space="preserve">المخرج</w:t>
            </w:r>
          </w:p>
        </w:tc>
      </w:tr>
      <w:tr>
        <w:tc>
          <w:tcPr/>
          <w:p>
            <w:pPr>
              <w:pStyle w:val="Compact"/>
              <w:bidi/>
              <w:jc w:val="left"/>
            </w:pPr>
            <w:r>
              <w:rPr>
                <w:rtl/>
              </w:rPr>
              <w:t xml:space="preserve">قانون الأراضي العامة الإطاري</w:t>
            </w:r>
          </w:p>
        </w:tc>
        <w:tc>
          <w:tcPr/>
          <w:p>
            <w:pPr>
              <w:pStyle w:val="Compact"/>
              <w:bidi/>
              <w:jc w:val="left"/>
            </w:pPr>
            <w:r>
              <w:rPr>
                <w:rtl/>
              </w:rPr>
              <w:t xml:space="preserve">1–12</w:t>
            </w:r>
          </w:p>
        </w:tc>
        <w:tc>
          <w:tcPr/>
          <w:p>
            <w:pPr>
              <w:pStyle w:val="Compact"/>
              <w:bidi/>
              <w:jc w:val="left"/>
            </w:pPr>
            <w:r>
              <w:rPr>
                <w:rtl/>
              </w:rPr>
              <w:t xml:space="preserve">نص مُجاز</w:t>
            </w:r>
          </w:p>
        </w:tc>
      </w:tr>
      <w:tr>
        <w:tc>
          <w:tcPr/>
          <w:p>
            <w:pPr>
              <w:pStyle w:val="Compact"/>
              <w:bidi/>
              <w:jc w:val="left"/>
            </w:pPr>
            <w:r>
              <w:rPr>
                <w:rtl/>
              </w:rPr>
              <w:t xml:space="preserve">تأمين السجلات القائمة ورقمنتها</w:t>
            </w:r>
          </w:p>
        </w:tc>
        <w:tc>
          <w:tcPr/>
          <w:p>
            <w:pPr>
              <w:pStyle w:val="Compact"/>
              <w:bidi/>
              <w:jc w:val="left"/>
            </w:pPr>
            <w:r>
              <w:rPr>
                <w:rtl/>
              </w:rPr>
              <w:t xml:space="preserve">1–12</w:t>
            </w:r>
          </w:p>
        </w:tc>
        <w:tc>
          <w:tcPr/>
          <w:p>
            <w:pPr>
              <w:pStyle w:val="Compact"/>
              <w:bidi/>
              <w:jc w:val="left"/>
            </w:pPr>
            <w:r>
              <w:rPr>
                <w:rtl/>
              </w:rPr>
              <w:t xml:space="preserve">سجل إلكتروني أولي</w:t>
            </w:r>
          </w:p>
        </w:tc>
      </w:tr>
      <w:tr>
        <w:tc>
          <w:tcPr/>
          <w:p>
            <w:pPr>
              <w:pStyle w:val="Compact"/>
              <w:bidi/>
              <w:jc w:val="left"/>
            </w:pPr>
            <w:r>
              <w:rPr>
                <w:rtl/>
              </w:rPr>
              <w:t xml:space="preserve">المسح الفضائي وإنتاج الخرائط</w:t>
            </w:r>
          </w:p>
        </w:tc>
        <w:tc>
          <w:tcPr/>
          <w:p>
            <w:pPr>
              <w:pStyle w:val="Compact"/>
              <w:bidi/>
              <w:jc w:val="left"/>
            </w:pPr>
            <w:r>
              <w:rPr>
                <w:rtl/>
              </w:rPr>
              <w:t xml:space="preserve">3–15</w:t>
            </w:r>
          </w:p>
        </w:tc>
        <w:tc>
          <w:tcPr/>
          <w:p>
            <w:pPr>
              <w:pStyle w:val="Compact"/>
              <w:bidi/>
              <w:jc w:val="left"/>
            </w:pPr>
            <w:r>
              <w:rPr>
                <w:rtl/>
              </w:rPr>
              <w:t xml:space="preserve">طبقة خرائطية للأراضي العامة</w:t>
            </w:r>
          </w:p>
        </w:tc>
      </w:tr>
      <w:tr>
        <w:tc>
          <w:tcPr/>
          <w:p>
            <w:pPr>
              <w:pStyle w:val="Compact"/>
              <w:bidi/>
              <w:jc w:val="left"/>
            </w:pPr>
            <w:r>
              <w:rPr>
                <w:rtl/>
              </w:rPr>
              <w:t xml:space="preserve">الفرز القانوني وتسجيل الحقوق العرفية</w:t>
            </w:r>
          </w:p>
        </w:tc>
        <w:tc>
          <w:tcPr/>
          <w:p>
            <w:pPr>
              <w:pStyle w:val="Compact"/>
              <w:bidi/>
              <w:jc w:val="left"/>
            </w:pPr>
            <w:r>
              <w:rPr>
                <w:rtl/>
              </w:rPr>
              <w:t xml:space="preserve">6–30</w:t>
            </w:r>
          </w:p>
        </w:tc>
        <w:tc>
          <w:tcPr/>
          <w:p>
            <w:pPr>
              <w:pStyle w:val="Compact"/>
              <w:bidi/>
              <w:jc w:val="left"/>
            </w:pPr>
            <w:r>
              <w:rPr>
                <w:rtl/>
              </w:rPr>
              <w:t xml:space="preserve">فئات محسومة وحقوق مسجلة</w:t>
            </w:r>
          </w:p>
        </w:tc>
      </w:tr>
      <w:tr>
        <w:tc>
          <w:tcPr/>
          <w:p>
            <w:pPr>
              <w:pStyle w:val="Compact"/>
              <w:bidi/>
              <w:jc w:val="left"/>
            </w:pPr>
            <w:r>
              <w:rPr>
                <w:rtl/>
              </w:rPr>
              <w:t xml:space="preserve">التصنيف والترقيم</w:t>
            </w:r>
          </w:p>
        </w:tc>
        <w:tc>
          <w:tcPr/>
          <w:p>
            <w:pPr>
              <w:pStyle w:val="Compact"/>
              <w:bidi/>
              <w:jc w:val="left"/>
            </w:pPr>
            <w:r>
              <w:rPr>
                <w:rtl/>
              </w:rPr>
              <w:t xml:space="preserve">12–30</w:t>
            </w:r>
          </w:p>
        </w:tc>
        <w:tc>
          <w:tcPr/>
          <w:p>
            <w:pPr>
              <w:pStyle w:val="Compact"/>
              <w:bidi/>
              <w:jc w:val="left"/>
            </w:pPr>
            <w:r>
              <w:rPr>
                <w:rtl/>
              </w:rPr>
              <w:t xml:space="preserve">قطع مرقمة مصنفة</w:t>
            </w:r>
          </w:p>
        </w:tc>
      </w:tr>
      <w:tr>
        <w:tc>
          <w:tcPr/>
          <w:p>
            <w:pPr>
              <w:pStyle w:val="Compact"/>
              <w:bidi/>
              <w:jc w:val="left"/>
            </w:pPr>
            <w:r>
              <w:rPr>
                <w:rtl/>
              </w:rPr>
              <w:t xml:space="preserve">التقييم</w:t>
            </w:r>
          </w:p>
        </w:tc>
        <w:tc>
          <w:tcPr/>
          <w:p>
            <w:pPr>
              <w:pStyle w:val="Compact"/>
              <w:bidi/>
              <w:jc w:val="left"/>
            </w:pPr>
            <w:r>
              <w:rPr>
                <w:rtl/>
              </w:rPr>
              <w:t xml:space="preserve">18–36</w:t>
            </w:r>
          </w:p>
        </w:tc>
        <w:tc>
          <w:tcPr/>
          <w:p>
            <w:pPr>
              <w:pStyle w:val="Compact"/>
              <w:bidi/>
              <w:jc w:val="left"/>
            </w:pPr>
            <w:r>
              <w:rPr>
                <w:rtl/>
              </w:rPr>
              <w:t xml:space="preserve">منهجيات وجداول منشورة</w:t>
            </w:r>
          </w:p>
        </w:tc>
      </w:tr>
      <w:tr>
        <w:tc>
          <w:tcPr/>
          <w:p>
            <w:pPr>
              <w:pStyle w:val="Compact"/>
              <w:bidi/>
              <w:jc w:val="left"/>
            </w:pPr>
            <w:r>
              <w:rPr>
                <w:rtl/>
              </w:rPr>
              <w:t xml:space="preserve">الطرح والاستثمار</w:t>
            </w:r>
          </w:p>
        </w:tc>
        <w:tc>
          <w:tcPr/>
          <w:p>
            <w:pPr>
              <w:pStyle w:val="Compact"/>
              <w:bidi/>
              <w:jc w:val="left"/>
            </w:pPr>
            <w:r>
              <w:rPr>
                <w:rtl/>
              </w:rPr>
              <w:t xml:space="preserve">من 30</w:t>
            </w:r>
          </w:p>
        </w:tc>
        <w:tc>
          <w:tcPr/>
          <w:p>
            <w:pPr>
              <w:pStyle w:val="Compact"/>
              <w:bidi/>
              <w:jc w:val="left"/>
            </w:pPr>
            <w:r>
              <w:rPr>
                <w:rtl/>
              </w:rPr>
              <w:t xml:space="preserve">عقود منشورة</w:t>
            </w:r>
          </w:p>
        </w:tc>
      </w:tr>
    </w:tbl>
    <w:p>
      <w:pPr>
        <w:pStyle w:val="BodyText"/>
        <w:bidi/>
      </w:pPr>
      <w:r>
        <w:rPr>
          <w:b/>
          <w:bCs/>
          <w:rtl/>
        </w:rPr>
        <w:t xml:space="preserve">ولا نقدنة واسعة خلال الفترة الانتقالية.</w:t>
      </w:r>
      <w:r>
        <w:rPr>
          <w:rtl/>
        </w:rPr>
        <w:t xml:space="preserve"> </w:t>
      </w:r>
      <w:r>
        <w:rPr>
          <w:rtl/>
        </w:rPr>
        <w:t xml:space="preserve">فالحكومة الانتقالية تبني السجل وتحمي الحقوق، والحكومة المنتخبة تقرر التصرف.</w:t>
      </w:r>
    </w:p>
    <w:p>
      <w:pPr>
        <w:pStyle w:val="BodyText"/>
        <w:bidi/>
      </w:pPr>
      <w:r>
        <w:rPr>
          <w:b/>
          <w:bCs/>
          <w:rtl/>
        </w:rPr>
        <w:t xml:space="preserve">المؤشرات:</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المجموعة</w:t>
            </w:r>
          </w:p>
        </w:tc>
        <w:tc>
          <w:tcPr/>
          <w:p>
            <w:pPr>
              <w:pStyle w:val="Compact"/>
              <w:bidi/>
              <w:jc w:val="left"/>
            </w:pPr>
            <w:r>
              <w:rPr>
                <w:rtl/>
              </w:rPr>
              <w:t xml:space="preserve">المؤشرات</w:t>
            </w:r>
          </w:p>
        </w:tc>
      </w:tr>
      <w:tr>
        <w:tc>
          <w:tcPr/>
          <w:p>
            <w:pPr>
              <w:pStyle w:val="Compact"/>
              <w:bidi/>
              <w:jc w:val="left"/>
            </w:pPr>
            <w:r>
              <w:rPr>
                <w:b/>
                <w:bCs/>
                <w:rtl/>
              </w:rPr>
              <w:t xml:space="preserve">الحصر والسجل</w:t>
            </w:r>
          </w:p>
        </w:tc>
        <w:tc>
          <w:tcPr/>
          <w:p>
            <w:pPr>
              <w:pStyle w:val="Compact"/>
              <w:bidi/>
              <w:jc w:val="left"/>
            </w:pPr>
            <w:r>
              <w:rPr>
                <w:rtl/>
              </w:rPr>
              <w:t xml:space="preserve">نسبة الأراضي العامة المحصورة والمخرَّطة؛ ونسبة السجلات المرقمنة</w:t>
            </w:r>
          </w:p>
        </w:tc>
      </w:tr>
      <w:tr>
        <w:tc>
          <w:tcPr/>
          <w:p>
            <w:pPr>
              <w:pStyle w:val="Compact"/>
              <w:bidi/>
              <w:jc w:val="left"/>
            </w:pPr>
            <w:r>
              <w:rPr>
                <w:b/>
                <w:bCs/>
                <w:rtl/>
              </w:rPr>
              <w:t xml:space="preserve">الحقوق</w:t>
            </w:r>
          </w:p>
        </w:tc>
        <w:tc>
          <w:tcPr/>
          <w:p>
            <w:pPr>
              <w:pStyle w:val="Compact"/>
              <w:bidi/>
              <w:jc w:val="left"/>
            </w:pPr>
            <w:r>
              <w:rPr>
                <w:rtl/>
              </w:rPr>
              <w:t xml:space="preserve">نسبة النزاعات المحسومة؛ ومتوسط زمن تسوية النزاع؛</w:t>
            </w:r>
            <w:r>
              <w:rPr>
                <w:rtl/>
              </w:rPr>
              <w:t xml:space="preserve"> </w:t>
            </w:r>
            <w:r>
              <w:rPr>
                <w:b/>
                <w:bCs/>
                <w:rtl/>
              </w:rPr>
              <w:t xml:space="preserve">ونسبة النساء المسجَّلات أصحاب حقوق</w:t>
            </w:r>
            <w:r>
              <w:rPr>
                <w:rtl/>
              </w:rPr>
              <w:t xml:space="preserve">؛ ونسبة مطالبات النازحين والعائدين التي سُوّيت</w:t>
            </w:r>
          </w:p>
        </w:tc>
      </w:tr>
      <w:tr>
        <w:tc>
          <w:tcPr/>
          <w:p>
            <w:pPr>
              <w:pStyle w:val="Compact"/>
              <w:bidi/>
              <w:jc w:val="left"/>
            </w:pPr>
            <w:r>
              <w:rPr>
                <w:b/>
                <w:bCs/>
                <w:rtl/>
              </w:rPr>
              <w:t xml:space="preserve">السوق والإجراءات</w:t>
            </w:r>
          </w:p>
        </w:tc>
        <w:tc>
          <w:tcPr/>
          <w:p>
            <w:pPr>
              <w:pStyle w:val="Compact"/>
              <w:bidi/>
              <w:jc w:val="left"/>
            </w:pPr>
            <w:r>
              <w:rPr>
                <w:rtl/>
              </w:rPr>
              <w:t xml:space="preserve">متوسط زمن تسجيل المعاملة؛ وكلفتها؛ وعدد المعاملات الرقمية؛ ونسبة التقييمات المنشورة</w:t>
            </w:r>
          </w:p>
        </w:tc>
      </w:tr>
      <w:tr>
        <w:tc>
          <w:tcPr/>
          <w:p>
            <w:pPr>
              <w:pStyle w:val="Compact"/>
              <w:bidi/>
              <w:jc w:val="left"/>
            </w:pPr>
            <w:r>
              <w:rPr>
                <w:b/>
                <w:bCs/>
                <w:rtl/>
              </w:rPr>
              <w:t xml:space="preserve">المالية</w:t>
            </w:r>
          </w:p>
        </w:tc>
        <w:tc>
          <w:tcPr/>
          <w:p>
            <w:pPr>
              <w:pStyle w:val="Compact"/>
              <w:bidi/>
              <w:jc w:val="left"/>
            </w:pPr>
            <w:r>
              <w:rPr>
                <w:rtl/>
              </w:rPr>
              <w:t xml:space="preserve">عائد الأرض لكل هكتار؛ ونسبة العائد المعاد استثماره؛ ونسبة الأصول التي تحقق دخلاً؛ وكلفة إدارة المحفظة مقارنة بإيرادها</w:t>
            </w:r>
          </w:p>
        </w:tc>
      </w:tr>
      <w:tr>
        <w:tc>
          <w:tcPr/>
          <w:p>
            <w:pPr>
              <w:pStyle w:val="Compact"/>
              <w:bidi/>
              <w:jc w:val="left"/>
            </w:pPr>
            <w:r>
              <w:rPr>
                <w:b/>
                <w:bCs/>
                <w:rtl/>
              </w:rPr>
              <w:t xml:space="preserve">النزاهة</w:t>
            </w:r>
          </w:p>
        </w:tc>
        <w:tc>
          <w:tcPr/>
          <w:p>
            <w:pPr>
              <w:pStyle w:val="Compact"/>
              <w:bidi/>
              <w:jc w:val="left"/>
            </w:pPr>
            <w:r>
              <w:rPr>
                <w:rtl/>
              </w:rPr>
              <w:t xml:space="preserve">نسبة التخصيصات التي تمت بمنافسة مفتوحة؛ ونسبة العقود المنشورة في مواعيدها</w:t>
            </w:r>
          </w:p>
        </w:tc>
      </w:tr>
    </w:tbl>
    <w:p>
      <w:pPr>
        <w:bidi/>
      </w:pPr>
      <w:r>
        <w:rPr>
          <w:rtl/>
        </w:rPr>
        <w:br w:type="page"/>
      </w:r>
    </w:p>
    <w:bookmarkEnd w:id="39"/>
    <w:bookmarkStart w:id="40" w:name="سابع-عشر-تجارب-يستفاد-منها"/>
    <w:p>
      <w:pPr>
        <w:pStyle w:val="Heading1"/>
        <w:bidi/>
      </w:pPr>
      <w:r>
        <w:rPr>
          <w:rtl/>
        </w:rPr>
        <w:t xml:space="preserve">سابع عشر: تجارب يُستفاد منها</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التجربة</w:t>
            </w:r>
          </w:p>
        </w:tc>
        <w:tc>
          <w:tcPr/>
          <w:p>
            <w:pPr>
              <w:pStyle w:val="Compact"/>
              <w:bidi/>
              <w:jc w:val="left"/>
            </w:pPr>
            <w:r>
              <w:rPr>
                <w:rtl/>
              </w:rPr>
              <w:t xml:space="preserve">الأداة المستفادة</w:t>
            </w:r>
          </w:p>
        </w:tc>
        <w:tc>
          <w:tcPr/>
          <w:p>
            <w:pPr>
              <w:pStyle w:val="Compact"/>
              <w:bidi/>
              <w:jc w:val="left"/>
            </w:pPr>
            <w:r>
              <w:rPr>
                <w:rtl/>
              </w:rPr>
              <w:t xml:space="preserve">التحفظ</w:t>
            </w:r>
          </w:p>
        </w:tc>
      </w:tr>
      <w:tr>
        <w:tc>
          <w:tcPr/>
          <w:p>
            <w:pPr>
              <w:pStyle w:val="Compact"/>
              <w:bidi/>
              <w:jc w:val="left"/>
            </w:pPr>
            <w:r>
              <w:rPr>
                <w:b/>
                <w:bCs/>
                <w:rtl/>
              </w:rPr>
              <w:t xml:space="preserve">سنغافورة</w:t>
            </w:r>
          </w:p>
        </w:tc>
        <w:tc>
          <w:tcPr/>
          <w:p>
            <w:pPr>
              <w:pStyle w:val="Compact"/>
              <w:bidi/>
              <w:jc w:val="left"/>
            </w:pPr>
            <w:r>
              <w:rPr>
                <w:rtl/>
              </w:rPr>
              <w:t xml:space="preserve">إدارة محفظة عامة بحق انتفاع طويل مع إعادة تخطيط دورية</w:t>
            </w:r>
          </w:p>
        </w:tc>
        <w:tc>
          <w:tcPr/>
          <w:p>
            <w:pPr>
              <w:pStyle w:val="Compact"/>
              <w:bidi/>
              <w:jc w:val="left"/>
            </w:pPr>
            <w:r>
              <w:rPr>
                <w:rtl/>
              </w:rPr>
              <w:t xml:space="preserve">دولة مدينة بقدرة مؤسسية استثنائية</w:t>
            </w:r>
          </w:p>
        </w:tc>
      </w:tr>
      <w:tr>
        <w:tc>
          <w:tcPr/>
          <w:p>
            <w:pPr>
              <w:pStyle w:val="Compact"/>
              <w:bidi/>
              <w:jc w:val="left"/>
            </w:pPr>
            <w:r>
              <w:rPr>
                <w:b/>
                <w:bCs/>
                <w:rtl/>
              </w:rPr>
              <w:t xml:space="preserve">هونغ كونغ</w:t>
            </w:r>
          </w:p>
        </w:tc>
        <w:tc>
          <w:tcPr/>
          <w:p>
            <w:pPr>
              <w:pStyle w:val="Compact"/>
              <w:bidi/>
              <w:jc w:val="left"/>
            </w:pPr>
            <w:r>
              <w:rPr>
                <w:rtl/>
              </w:rPr>
              <w:t xml:space="preserve">منح حقوق الأرض بالمزاد العلني وإدراج عائدها في المالية العامة</w:t>
            </w:r>
          </w:p>
        </w:tc>
        <w:tc>
          <w:tcPr/>
          <w:p>
            <w:pPr>
              <w:pStyle w:val="Compact"/>
              <w:bidi/>
              <w:jc w:val="left"/>
            </w:pPr>
            <w:r>
              <w:rPr>
                <w:rtl/>
              </w:rPr>
              <w:t xml:space="preserve">نموذج مختلف يعتمد على دورة العقار</w:t>
            </w:r>
          </w:p>
        </w:tc>
      </w:tr>
      <w:tr>
        <w:tc>
          <w:tcPr/>
          <w:p>
            <w:pPr>
              <w:pStyle w:val="Compact"/>
              <w:bidi/>
              <w:jc w:val="left"/>
            </w:pPr>
            <w:r>
              <w:rPr>
                <w:b/>
                <w:bCs/>
                <w:rtl/>
              </w:rPr>
              <w:t xml:space="preserve">الهند</w:t>
            </w:r>
          </w:p>
        </w:tc>
        <w:tc>
          <w:tcPr/>
          <w:p>
            <w:pPr>
              <w:pStyle w:val="Compact"/>
              <w:bidi/>
              <w:jc w:val="left"/>
            </w:pPr>
            <w:r>
              <w:rPr>
                <w:rtl/>
              </w:rPr>
              <w:t xml:space="preserve">إطار موحد للتقييم وتحديد الأراضي الفائضة</w:t>
            </w:r>
          </w:p>
        </w:tc>
        <w:tc>
          <w:tcPr/>
          <w:p>
            <w:pPr>
              <w:pStyle w:val="Compact"/>
              <w:bidi/>
              <w:jc w:val="left"/>
            </w:pPr>
            <w:r>
              <w:rPr>
                <w:rtl/>
              </w:rPr>
              <w:t xml:space="preserve">تفاوت الشفافية محلياً</w:t>
            </w:r>
          </w:p>
        </w:tc>
      </w:tr>
      <w:tr>
        <w:tc>
          <w:tcPr/>
          <w:p>
            <w:pPr>
              <w:pStyle w:val="Compact"/>
              <w:bidi/>
              <w:jc w:val="left"/>
            </w:pPr>
            <w:r>
              <w:rPr>
                <w:b/>
                <w:bCs/>
                <w:rtl/>
              </w:rPr>
              <w:t xml:space="preserve">إثيوبيا</w:t>
            </w:r>
          </w:p>
        </w:tc>
        <w:tc>
          <w:tcPr/>
          <w:p>
            <w:pPr>
              <w:pStyle w:val="Compact"/>
              <w:bidi/>
              <w:jc w:val="left"/>
            </w:pPr>
            <w:r>
              <w:rPr>
                <w:rtl/>
              </w:rPr>
              <w:t xml:space="preserve">ملكية عامة مع حق انتفاع طويل</w:t>
            </w:r>
          </w:p>
        </w:tc>
        <w:tc>
          <w:tcPr/>
          <w:p>
            <w:pPr>
              <w:pStyle w:val="Compact"/>
              <w:bidi/>
              <w:jc w:val="left"/>
            </w:pPr>
            <w:r>
              <w:rPr>
                <w:rtl/>
              </w:rPr>
              <w:t xml:space="preserve">ضعف حماية الحيازات العرفية أنتج نزاعات</w:t>
            </w:r>
          </w:p>
        </w:tc>
      </w:tr>
      <w:tr>
        <w:tc>
          <w:tcPr/>
          <w:p>
            <w:pPr>
              <w:pStyle w:val="Compact"/>
              <w:bidi/>
              <w:jc w:val="left"/>
            </w:pPr>
            <w:r>
              <w:rPr>
                <w:b/>
                <w:bCs/>
                <w:rtl/>
              </w:rPr>
              <w:t xml:space="preserve">رواندا</w:t>
            </w:r>
          </w:p>
        </w:tc>
        <w:tc>
          <w:tcPr/>
          <w:p>
            <w:pPr>
              <w:pStyle w:val="Compact"/>
              <w:bidi/>
              <w:jc w:val="left"/>
            </w:pPr>
            <w:r>
              <w:rPr>
                <w:rtl/>
              </w:rPr>
              <w:t xml:space="preserve">رقمنة شاملة للسجل في سنوات قليلة وبكلفة منخفضة</w:t>
            </w:r>
          </w:p>
        </w:tc>
        <w:tc>
          <w:tcPr/>
          <w:p>
            <w:pPr>
              <w:pStyle w:val="Compact"/>
              <w:bidi/>
              <w:jc w:val="left"/>
            </w:pPr>
            <w:r>
              <w:rPr>
                <w:b/>
                <w:bCs/>
                <w:rtl/>
              </w:rPr>
              <w:t xml:space="preserve">أقرب التجارب إلى حاجتنا الأولى</w:t>
            </w:r>
          </w:p>
        </w:tc>
      </w:tr>
      <w:tr>
        <w:tc>
          <w:tcPr/>
          <w:p>
            <w:pPr>
              <w:pStyle w:val="Compact"/>
              <w:bidi/>
              <w:jc w:val="left"/>
            </w:pPr>
            <w:r>
              <w:rPr>
                <w:b/>
                <w:bCs/>
                <w:rtl/>
              </w:rPr>
              <w:t xml:space="preserve">جنوب أفريقيا</w:t>
            </w:r>
          </w:p>
        </w:tc>
        <w:tc>
          <w:tcPr/>
          <w:p>
            <w:pPr>
              <w:pStyle w:val="Compact"/>
              <w:bidi/>
              <w:jc w:val="left"/>
            </w:pPr>
            <w:r>
              <w:rPr>
                <w:rtl/>
              </w:rPr>
              <w:t xml:space="preserve">رسوم التطوير واسترداد القيمة في المدن</w:t>
            </w:r>
          </w:p>
        </w:tc>
        <w:tc>
          <w:tcPr/>
          <w:p>
            <w:pPr>
              <w:pStyle w:val="Compact"/>
              <w:bidi/>
              <w:jc w:val="left"/>
            </w:pPr>
            <w:r>
              <w:rPr>
                <w:rtl/>
              </w:rPr>
              <w:t xml:space="preserve">بطء التنفيذ</w:t>
            </w:r>
          </w:p>
        </w:tc>
      </w:tr>
    </w:tbl>
    <w:p>
      <w:pPr>
        <w:pStyle w:val="BodyText"/>
        <w:bidi/>
      </w:pPr>
      <w:r>
        <w:rPr>
          <w:b/>
          <w:bCs/>
          <w:rtl/>
        </w:rPr>
        <w:t xml:space="preserve">والقاعدة: نستفيد من الأدوات، ولا نستورد النموذج.</w:t>
      </w:r>
      <w:r>
        <w:rPr>
          <w:rtl/>
        </w:rPr>
        <w:t xml:space="preserve"> </w:t>
      </w:r>
      <w:r>
        <w:rPr>
          <w:rtl/>
        </w:rPr>
        <w:t xml:space="preserve">فالسودان دولة قارية، ذات ملكيات عرفية ومجتمعات رعوية ونزوح واسع وقدرة مؤسسية محدودة، ولا يشبه أياً من هذه الحالات.</w:t>
      </w:r>
    </w:p>
    <w:p>
      <w:pPr>
        <w:pStyle w:val="BodyText"/>
        <w:bidi/>
      </w:pPr>
      <w:r>
        <w:rPr>
          <w:b/>
          <w:bCs/>
          <w:rtl/>
        </w:rPr>
        <w:t xml:space="preserve">وتشير المقارنة الدولية إلى أن نجاح إدارة الأراضي العامة يرتبط بوجود سجل موثوق، واعتراف واضح بالحقوق، وتقييم مستقل، وشفافية في التخصيص، ومؤسسات قادرة على إدارة الأصول؛ وأن النقدنة دون هذه الشروط قد تتحول إلى تصرف في الأصول بدلاً من أن تكون أداة للتنمية.</w:t>
      </w:r>
    </w:p>
    <w:p>
      <w:pPr>
        <w:bidi/>
      </w:pPr>
      <w:r>
        <w:rPr>
          <w:rtl/>
        </w:rPr>
        <w:br w:type="page"/>
      </w:r>
    </w:p>
    <w:bookmarkEnd w:id="40"/>
    <w:bookmarkStart w:id="41" w:name="ثامن-عشر-أسئلة-مفتوحة"/>
    <w:p>
      <w:pPr>
        <w:pStyle w:val="Heading1"/>
        <w:bidi/>
      </w:pPr>
      <w:r>
        <w:rPr>
          <w:rtl/>
        </w:rPr>
        <w:t xml:space="preserve">ثامن عشر: أسئلة مفتوحة</w:t>
      </w:r>
    </w:p>
    <w:p>
      <w:pPr>
        <w:pStyle w:val="Compact"/>
        <w:numPr>
          <w:ilvl w:val="0"/>
          <w:numId w:val="1005"/>
        </w:numPr>
        <w:bidi/>
      </w:pPr>
      <w:r>
        <w:rPr>
          <w:b/>
          <w:bCs/>
          <w:rtl/>
        </w:rPr>
        <w:t xml:space="preserve">المشاريع المروية الكبرى</w:t>
      </w:r>
      <w:r>
        <w:rPr>
          <w:rtl/>
        </w:rPr>
        <w:t xml:space="preserve"> </w:t>
      </w:r>
      <w:r>
        <w:rPr>
          <w:rtl/>
        </w:rPr>
        <w:t xml:space="preserve">كالجزيرة: تُعالج بقانون خاص لحساسيتها التاريخية أم ضمن الإطار العام؟</w:t>
      </w:r>
    </w:p>
    <w:p>
      <w:pPr>
        <w:pStyle w:val="Compact"/>
        <w:numPr>
          <w:ilvl w:val="0"/>
          <w:numId w:val="1005"/>
        </w:numPr>
        <w:bidi/>
      </w:pPr>
      <w:r>
        <w:rPr>
          <w:b/>
          <w:bCs/>
          <w:rtl/>
        </w:rPr>
        <w:t xml:space="preserve">تداول حق الانتفاع</w:t>
      </w:r>
      <w:r>
        <w:rPr>
          <w:rtl/>
        </w:rPr>
        <w:t xml:space="preserve"> </w:t>
      </w:r>
      <w:r>
        <w:rPr>
          <w:rtl/>
        </w:rPr>
        <w:t xml:space="preserve">في سوق ثانوية: يرفع قيمته ويسهّل تمويله، لكنه يفتح باب المضاربة.</w:t>
      </w:r>
    </w:p>
    <w:p>
      <w:pPr>
        <w:pStyle w:val="Compact"/>
        <w:numPr>
          <w:ilvl w:val="0"/>
          <w:numId w:val="1005"/>
        </w:numPr>
        <w:bidi/>
      </w:pPr>
      <w:r>
        <w:rPr>
          <w:b/>
          <w:bCs/>
          <w:rtl/>
        </w:rPr>
        <w:t xml:space="preserve">وضع اليد الذي نشأ أثناء الحرب:</w:t>
      </w:r>
      <w:r>
        <w:rPr>
          <w:rtl/>
        </w:rPr>
        <w:t xml:space="preserve"> </w:t>
      </w:r>
      <w:r>
        <w:rPr>
          <w:rtl/>
        </w:rPr>
        <w:t xml:space="preserve">نقترح عدم الاعتداد به إطلاقاً، مع حماية محدودة لحسن النية.</w:t>
      </w:r>
    </w:p>
    <w:p>
      <w:pPr>
        <w:pStyle w:val="Compact"/>
        <w:numPr>
          <w:ilvl w:val="0"/>
          <w:numId w:val="1005"/>
        </w:numPr>
        <w:bidi/>
      </w:pPr>
      <w:r>
        <w:rPr>
          <w:b/>
          <w:bCs/>
          <w:rtl/>
        </w:rPr>
        <w:t xml:space="preserve">نصيب الإقليم:</w:t>
      </w:r>
      <w:r>
        <w:rPr>
          <w:rtl/>
        </w:rPr>
        <w:t xml:space="preserve"> </w:t>
      </w:r>
      <w:r>
        <w:rPr>
          <w:rtl/>
        </w:rPr>
        <w:t xml:space="preserve">ما أوزان عناصر المعادلة الثلاثة؟</w:t>
      </w:r>
    </w:p>
    <w:p>
      <w:pPr>
        <w:pStyle w:val="Compact"/>
        <w:numPr>
          <w:ilvl w:val="0"/>
          <w:numId w:val="1005"/>
        </w:numPr>
        <w:bidi/>
      </w:pPr>
      <w:r>
        <w:rPr>
          <w:b/>
          <w:bCs/>
          <w:rtl/>
        </w:rPr>
        <w:t xml:space="preserve">هيئة إدارة الأصول:</w:t>
      </w:r>
      <w:r>
        <w:rPr>
          <w:rtl/>
        </w:rPr>
        <w:t xml:space="preserve"> </w:t>
      </w:r>
      <w:r>
        <w:rPr>
          <w:rtl/>
        </w:rPr>
        <w:t xml:space="preserve">هيئة عامة أم شركة مملوكة للدولة؟ الشركة أكفأ إدارياً وأبعد عن الرقابة العامة.</w:t>
      </w:r>
    </w:p>
    <w:p>
      <w:pPr>
        <w:pStyle w:val="Compact"/>
        <w:numPr>
          <w:ilvl w:val="0"/>
          <w:numId w:val="1005"/>
        </w:numPr>
        <w:bidi/>
      </w:pPr>
      <w:r>
        <w:rPr>
          <w:b/>
          <w:bCs/>
          <w:rtl/>
        </w:rPr>
        <w:t xml:space="preserve">مراجعة قانون 1970:</w:t>
      </w:r>
      <w:r>
        <w:rPr>
          <w:rtl/>
        </w:rPr>
        <w:t xml:space="preserve"> </w:t>
      </w:r>
      <w:r>
        <w:rPr>
          <w:rtl/>
        </w:rPr>
        <w:t xml:space="preserve">يُلغى ويُستبدل، أم يُعدَّل بما يعترف بالحقوق العرفية؟</w:t>
      </w:r>
    </w:p>
    <w:p>
      <w:pPr>
        <w:bidi/>
      </w:pPr>
      <w:r>
        <w:rPr>
          <w:rtl/>
        </w:rPr>
        <w:br w:type="page"/>
      </w:r>
    </w:p>
    <w:bookmarkEnd w:id="41"/>
    <w:bookmarkStart w:id="42" w:name="خاتمة"/>
    <w:p>
      <w:pPr>
        <w:pStyle w:val="Heading1"/>
        <w:bidi/>
      </w:pPr>
      <w:r>
        <w:rPr>
          <w:rtl/>
        </w:rPr>
        <w:t xml:space="preserve">خاتمة</w:t>
      </w:r>
    </w:p>
    <w:p>
      <w:pPr>
        <w:pStyle w:val="FirstParagraph"/>
        <w:bidi/>
      </w:pPr>
      <w:r>
        <w:rPr>
          <w:rtl/>
        </w:rPr>
        <w:t xml:space="preserve">إن أرض السودان أكبر ثروة نملكها وأقلها إدارة.</w:t>
      </w:r>
      <w:r>
        <w:rPr>
          <w:rtl/>
        </w:rPr>
        <w:t xml:space="preserve"> </w:t>
      </w:r>
      <w:r>
        <w:rPr>
          <w:b/>
          <w:bCs/>
          <w:rtl/>
        </w:rPr>
        <w:t xml:space="preserve">والنقدنة، بالمعنى المحدد في هذه الورقة، تفعل ثلاثة أشياء معاً:</w:t>
      </w:r>
      <w:r>
        <w:rPr>
          <w:rtl/>
        </w:rPr>
        <w:t xml:space="preserve"> </w:t>
      </w:r>
      <w:r>
        <w:rPr>
          <w:rtl/>
        </w:rPr>
        <w:t xml:space="preserve">تجعل الدولة تعرف ماذا تملك، وتغلق باب الفساد في التخصيص، وتحوّل أصلاً نائماً إلى دخل وإنتاج وائتمان.</w:t>
      </w:r>
    </w:p>
    <w:p>
      <w:pPr>
        <w:pStyle w:val="BodyText"/>
        <w:bidi/>
      </w:pPr>
      <w:r>
        <w:rPr>
          <w:b/>
          <w:bCs/>
          <w:rtl/>
        </w:rPr>
        <w:t xml:space="preserve">لكن ترتيبها هو كل شيء:</w:t>
      </w:r>
      <w:r>
        <w:rPr>
          <w:rtl/>
        </w:rPr>
        <w:t xml:space="preserve"> </w:t>
      </w:r>
      <w:r>
        <w:rPr>
          <w:rtl/>
        </w:rPr>
        <w:t xml:space="preserve">السجل أولاً، ثم الاعتراف بالحقوق، ثم التصنيف، ثم القيمة، ثم الاستثمار.</w:t>
      </w:r>
      <w:r>
        <w:rPr>
          <w:rtl/>
        </w:rPr>
        <w:t xml:space="preserve"> </w:t>
      </w:r>
      <w:r>
        <w:rPr>
          <w:b/>
          <w:bCs/>
          <w:rtl/>
        </w:rPr>
        <w:t xml:space="preserve">وأي ترتيب آخر يقلب الفكرة من مصدر ثروة إلى مصدر نزاع.</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EAF12B68-DFA4-4DAA-9AC5-683321779227}"/>
    <w:embedBold r:id="rIdFont2" w:fontKey="{4BEF744D-4B96-495A-8972-3AFDD56AA434}"/>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