
<file path=[Content_Types].xml><?xml version="1.0" encoding="utf-8"?>
<Types xmlns="http://schemas.openxmlformats.org/package/2006/content-types">
  <Default Extension="odttf" ContentType="application/vnd.openxmlformats-officedocument.obfuscatedFont"/>
  <Default Extension="jpg" ContentType="image/jpeg"/>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bidi/>
      </w:pPr>
      <w:r>
        <w:rPr>
          <w:rtl/>
        </w:rPr>
        <w:t xml:space="preserve">عهد جديد</w:t>
      </w:r>
    </w:p>
    <w:p>
      <w:pPr>
        <w:pStyle w:val="CoverTitle"/>
        <w:bidi/>
      </w:pPr>
      <w:r>
        <w:rPr>
          <w:rtl/>
        </w:rPr>
        <w:t xml:space="preserve">ورقة الحماية الاجتماعية الشاملة</w:t>
      </w:r>
    </w:p>
    <w:p>
      <w:pPr>
        <w:pStyle w:val="CoverSubtitle"/>
        <w:bidi/>
      </w:pPr>
      <w:r>
        <w:rPr>
          <w:rtl/>
        </w:rPr>
        <w:t xml:space="preserve">عقد جديد للحماية الاجتماعية في سودان ما بعد الحرب</w:t>
      </w:r>
    </w:p>
    <w:p>
      <w:pPr>
        <w:pStyle w:val="CoverNote"/>
        <w:bidi/>
      </w:pPr>
      <w:r>
        <w:rPr>
          <w:rtl/>
        </w:rPr>
        <w:t xml:space="preserve">الإصدار الثالث، ورقة تفصيلية مرافقة لرؤية «عهد جديد»</w:t>
      </w:r>
    </w:p>
    <w:p>
      <w:pPr>
        <w:pStyle w:val="CoverDate"/>
        <w:bidi/>
      </w:pPr>
      <w:r>
        <w:rPr>
          <w:rtl/>
        </w:rPr>
        <w:t xml:space="preserve">سبتمبر 2026م</w:t>
      </w:r>
    </w:p>
    <w:p>
      <w:pPr>
        <w:bidi/>
      </w:pPr>
      <w:r>
        <w:rPr>
          <w:rtl/>
        </w:rPr>
        <w:br w:type="page"/>
      </w:r>
    </w:p>
    <w:bookmarkStart w:id="20" w:name="تمهيد"/>
    <w:p>
      <w:pPr>
        <w:pStyle w:val="Heading1"/>
        <w:bidi/>
      </w:pPr>
      <w:r>
        <w:rPr>
          <w:rtl/>
        </w:rPr>
        <w:t xml:space="preserve">تمهيد</w:t>
      </w:r>
    </w:p>
    <w:p>
      <w:pPr>
        <w:pStyle w:val="FirstParagraph"/>
        <w:bidi/>
      </w:pPr>
      <w:r>
        <w:rPr>
          <w:i/>
          <w:iCs/>
          <w:rtl/>
        </w:rPr>
        <w:t xml:space="preserve">(ورقة تفصيلية من المستوى الثالث لرؤية «عهد جديد». الإصدار الثاني، بعد مراجعة علمية تحريرية مركزة استناداً إلى تقييم متخصص. تعرض مفهوم «الحماية الاجتماعية الشاملة»، وتقيّم الدراسة الأولية المتاحة حوله، وتقترح نظاماً للحماية الاجتماعية في السودان بعد الحرب، وتُطرح للنقاش مع الاقتصاديين وخبراء الحماية الاجتماعية.)</w:t>
      </w:r>
    </w:p>
    <w:p>
      <w:pPr>
        <w:pStyle w:val="BlockText"/>
        <w:bidi/>
      </w:pPr>
      <w:r>
        <w:rPr>
          <w:b/>
          <w:bCs/>
          <w:rtl/>
        </w:rPr>
        <w:t xml:space="preserve">الفكرة المركزية للورقة: الشمول في الخدمات، والاستهداف في النقد، والتجريب قبل التعميم.</w:t>
      </w:r>
    </w:p>
    <w:p>
      <w:pPr>
        <w:bidi/>
      </w:pPr>
      <w:r>
        <w:rPr>
          <w:rtl/>
        </w:rPr>
        <w:br w:type="page"/>
      </w:r>
    </w:p>
    <w:bookmarkEnd w:id="20"/>
    <w:bookmarkStart w:id="24" w:name="أولا-المفهوم-والمصطلحات"/>
    <w:p>
      <w:pPr>
        <w:pStyle w:val="Heading1"/>
        <w:bidi/>
      </w:pPr>
      <w:r>
        <w:rPr>
          <w:rtl/>
        </w:rPr>
        <w:t xml:space="preserve">أولاً: المفهوم والمصطلحات</w:t>
      </w:r>
    </w:p>
    <w:bookmarkStart w:id="21" w:name="ما-المقصود-بالتوفير-الشامل"/>
    <w:p>
      <w:pPr>
        <w:pStyle w:val="Heading2"/>
        <w:bidi/>
      </w:pPr>
      <w:r>
        <w:rPr>
          <w:rtl/>
        </w:rPr>
        <w:t xml:space="preserve">ما المقصود بالتوفير الشامل؟</w:t>
      </w:r>
    </w:p>
    <w:p>
      <w:pPr>
        <w:pStyle w:val="FirstParagraph"/>
        <w:bidi/>
      </w:pPr>
      <w:r>
        <w:rPr>
          <w:b/>
          <w:bCs/>
          <w:rtl/>
        </w:rPr>
        <w:t xml:space="preserve">تستخدم هذه الورقة مصطلح «الحماية الاجتماعية الشاملة» بوصفه مفهوماً سياسياً مظلياً، لا اسماً لنظام اقتصادي أو أداة واحدة للحماية الاجتماعية.</w:t>
      </w:r>
      <w:r>
        <w:rPr>
          <w:rtl/>
        </w:rPr>
        <w:t xml:space="preserve"> </w:t>
      </w:r>
      <w:r>
        <w:rPr>
          <w:rtl/>
        </w:rPr>
        <w:t xml:space="preserve">وغايته ألا يسقط أي سوداني تحت حد أدنى من الحياة الكريمة، أياً كانت جهته أو ظروفه. ويتحقق عبر عدة أدوات مختلفة، لكل منها منطقها وكلفتها وأدلتها.</w:t>
      </w:r>
    </w:p>
    <w:bookmarkEnd w:id="21"/>
    <w:bookmarkStart w:id="22" w:name="المصطلحات-الفنية-المستخدمة"/>
    <w:p>
      <w:pPr>
        <w:pStyle w:val="Heading2"/>
        <w:bidi/>
      </w:pPr>
      <w:r>
        <w:rPr>
          <w:rtl/>
        </w:rPr>
        <w:t xml:space="preserve">المصطلحات الفنية المستخدمة</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المصطلح</w:t>
            </w:r>
          </w:p>
        </w:tc>
        <w:tc>
          <w:tcPr/>
          <w:p>
            <w:pPr>
              <w:pStyle w:val="Compact"/>
              <w:bidi/>
              <w:jc w:val="left"/>
            </w:pPr>
            <w:r>
              <w:rPr>
                <w:rtl/>
              </w:rPr>
              <w:t xml:space="preserve">المقابل الإنجليزي</w:t>
            </w:r>
          </w:p>
        </w:tc>
        <w:tc>
          <w:tcPr/>
          <w:p>
            <w:pPr>
              <w:pStyle w:val="Compact"/>
              <w:bidi/>
              <w:jc w:val="left"/>
            </w:pPr>
            <w:r>
              <w:rPr>
                <w:rtl/>
              </w:rPr>
              <w:t xml:space="preserve">المعنى في هذه الورقة</w:t>
            </w:r>
          </w:p>
        </w:tc>
      </w:tr>
      <w:tr>
        <w:tc>
          <w:tcPr/>
          <w:p>
            <w:pPr>
              <w:pStyle w:val="Compact"/>
              <w:bidi/>
              <w:jc w:val="left"/>
            </w:pPr>
            <w:r>
              <w:rPr>
                <w:b/>
                <w:bCs/>
                <w:rtl/>
              </w:rPr>
              <w:t xml:space="preserve">الخدمات الأساسية الشاملة</w:t>
            </w:r>
          </w:p>
        </w:tc>
        <w:tc>
          <w:tcPr/>
          <w:p>
            <w:pPr>
              <w:pStyle w:val="Compact"/>
              <w:bidi/>
              <w:jc w:val="left"/>
            </w:pPr>
            <w:r>
              <w:rPr>
                <w:rtl/>
              </w:rPr>
              <w:t xml:space="preserve">Universal Basic Services</w:t>
            </w:r>
          </w:p>
        </w:tc>
        <w:tc>
          <w:tcPr/>
          <w:p>
            <w:pPr>
              <w:pStyle w:val="Compact"/>
              <w:bidi/>
              <w:jc w:val="left"/>
            </w:pPr>
            <w:r>
              <w:rPr>
                <w:rtl/>
              </w:rPr>
              <w:t xml:space="preserve">خدمات عامة يحصل عليها كل مواطن دون اختبار للدخل: التعليم الأساسي، والرعاية الصحية الأولية، ومياه الشرب</w:t>
            </w:r>
          </w:p>
        </w:tc>
      </w:tr>
      <w:tr>
        <w:tc>
          <w:tcPr/>
          <w:p>
            <w:pPr>
              <w:pStyle w:val="Compact"/>
              <w:bidi/>
              <w:jc w:val="left"/>
            </w:pPr>
            <w:r>
              <w:rPr>
                <w:b/>
                <w:bCs/>
                <w:rtl/>
              </w:rPr>
              <w:t xml:space="preserve">المساعدة الاجتماعية</w:t>
            </w:r>
          </w:p>
        </w:tc>
        <w:tc>
          <w:tcPr/>
          <w:p>
            <w:pPr>
              <w:pStyle w:val="Compact"/>
              <w:bidi/>
              <w:jc w:val="left"/>
            </w:pPr>
            <w:r>
              <w:rPr>
                <w:rtl/>
              </w:rPr>
              <w:t xml:space="preserve">Social Assistance</w:t>
            </w:r>
          </w:p>
        </w:tc>
        <w:tc>
          <w:tcPr/>
          <w:p>
            <w:pPr>
              <w:pStyle w:val="Compact"/>
              <w:bidi/>
              <w:jc w:val="left"/>
            </w:pPr>
            <w:r>
              <w:rPr>
                <w:rtl/>
              </w:rPr>
              <w:t xml:space="preserve">دعم حكومي غير قائم على الاشتراكات، يُوجَّه للفئات الأشد حاجة</w:t>
            </w:r>
          </w:p>
        </w:tc>
      </w:tr>
      <w:tr>
        <w:tc>
          <w:tcPr/>
          <w:p>
            <w:pPr>
              <w:pStyle w:val="Compact"/>
              <w:bidi/>
              <w:jc w:val="left"/>
            </w:pPr>
            <w:r>
              <w:rPr>
                <w:b/>
                <w:bCs/>
                <w:rtl/>
              </w:rPr>
              <w:t xml:space="preserve">الحماية النقدية المستهدفة</w:t>
            </w:r>
          </w:p>
        </w:tc>
        <w:tc>
          <w:tcPr/>
          <w:p>
            <w:pPr>
              <w:pStyle w:val="Compact"/>
              <w:bidi/>
              <w:jc w:val="left"/>
            </w:pPr>
            <w:r>
              <w:rPr>
                <w:rtl/>
              </w:rPr>
              <w:t xml:space="preserve">Targeted Cash Transfers</w:t>
            </w:r>
          </w:p>
        </w:tc>
        <w:tc>
          <w:tcPr/>
          <w:p>
            <w:pPr>
              <w:pStyle w:val="Compact"/>
              <w:bidi/>
              <w:jc w:val="left"/>
            </w:pPr>
            <w:r>
              <w:rPr>
                <w:rtl/>
              </w:rPr>
              <w:t xml:space="preserve">تحويلات نقدية منتظمة لأسر محددة وفق معايير معلنة، وهي الأداة الرئيسية للمساعدة الاجتماعية في هذه الورقة</w:t>
            </w:r>
          </w:p>
        </w:tc>
      </w:tr>
      <w:tr>
        <w:tc>
          <w:tcPr/>
          <w:p>
            <w:pPr>
              <w:pStyle w:val="Compact"/>
              <w:bidi/>
              <w:jc w:val="left"/>
            </w:pPr>
            <w:r>
              <w:rPr>
                <w:b/>
                <w:bCs/>
                <w:rtl/>
              </w:rPr>
              <w:t xml:space="preserve">التأمين الاجتماعي</w:t>
            </w:r>
          </w:p>
        </w:tc>
        <w:tc>
          <w:tcPr/>
          <w:p>
            <w:pPr>
              <w:pStyle w:val="Compact"/>
              <w:bidi/>
              <w:jc w:val="left"/>
            </w:pPr>
            <w:r>
              <w:rPr>
                <w:rtl/>
              </w:rPr>
              <w:t xml:space="preserve">Social Insurance</w:t>
            </w:r>
          </w:p>
        </w:tc>
        <w:tc>
          <w:tcPr/>
          <w:p>
            <w:pPr>
              <w:pStyle w:val="Compact"/>
              <w:bidi/>
              <w:jc w:val="left"/>
            </w:pPr>
            <w:r>
              <w:rPr>
                <w:rtl/>
              </w:rPr>
              <w:t xml:space="preserve">أنظمة قائمة على الاشتراكات: التقاعد، وإصابات العمل، والأمومة، والبطالة</w:t>
            </w:r>
          </w:p>
        </w:tc>
      </w:tr>
      <w:tr>
        <w:tc>
          <w:tcPr/>
          <w:p>
            <w:pPr>
              <w:pStyle w:val="Compact"/>
              <w:bidi/>
              <w:jc w:val="left"/>
            </w:pPr>
            <w:r>
              <w:rPr>
                <w:b/>
                <w:bCs/>
                <w:rtl/>
              </w:rPr>
              <w:t xml:space="preserve">الدخل الأساسي الشامل</w:t>
            </w:r>
          </w:p>
        </w:tc>
        <w:tc>
          <w:tcPr/>
          <w:p>
            <w:pPr>
              <w:pStyle w:val="Compact"/>
              <w:bidi/>
              <w:jc w:val="left"/>
            </w:pPr>
            <w:r>
              <w:rPr>
                <w:rtl/>
              </w:rPr>
              <w:t xml:space="preserve">Universal Basic Income</w:t>
            </w:r>
          </w:p>
        </w:tc>
        <w:tc>
          <w:tcPr/>
          <w:p>
            <w:pPr>
              <w:pStyle w:val="Compact"/>
              <w:bidi/>
              <w:jc w:val="left"/>
            </w:pPr>
            <w:r>
              <w:rPr>
                <w:rtl/>
              </w:rPr>
              <w:t xml:space="preserve">تحويل نقدي دوري، فردي عادة، شامل لكل السكان، وغير مشروط</w:t>
            </w:r>
          </w:p>
        </w:tc>
      </w:tr>
      <w:tr>
        <w:tc>
          <w:tcPr/>
          <w:p>
            <w:pPr>
              <w:pStyle w:val="Compact"/>
              <w:bidi/>
              <w:jc w:val="left"/>
            </w:pPr>
            <w:r>
              <w:rPr>
                <w:b/>
                <w:bCs/>
                <w:rtl/>
              </w:rPr>
              <w:t xml:space="preserve">المساعدة الإنسانية</w:t>
            </w:r>
          </w:p>
        </w:tc>
        <w:tc>
          <w:tcPr/>
          <w:p>
            <w:pPr>
              <w:pStyle w:val="Compact"/>
              <w:bidi/>
              <w:jc w:val="left"/>
            </w:pPr>
            <w:r>
              <w:rPr>
                <w:rtl/>
              </w:rPr>
              <w:t xml:space="preserve">Humanitarian Assistance</w:t>
            </w:r>
          </w:p>
        </w:tc>
        <w:tc>
          <w:tcPr/>
          <w:p>
            <w:pPr>
              <w:pStyle w:val="Compact"/>
              <w:bidi/>
              <w:jc w:val="left"/>
            </w:pPr>
            <w:r>
              <w:rPr>
                <w:rtl/>
              </w:rPr>
              <w:t xml:space="preserve">إغاثة طارئة تقدمها في الغالب المنظمات الإنسانية، خارج الأنظمة الحكومية</w:t>
            </w:r>
          </w:p>
        </w:tc>
      </w:tr>
    </w:tbl>
    <w:p>
      <w:pPr>
        <w:pStyle w:val="BodyText"/>
        <w:bidi/>
      </w:pPr>
      <w:r>
        <w:rPr>
          <w:b/>
          <w:bCs/>
          <w:rtl/>
        </w:rPr>
        <w:t xml:space="preserve">والتمييز بين هذه الأدوات ليس تفصيلاً لغوياً.</w:t>
      </w:r>
      <w:r>
        <w:rPr>
          <w:rtl/>
        </w:rPr>
        <w:t xml:space="preserve"> </w:t>
      </w:r>
      <w:r>
        <w:rPr>
          <w:rtl/>
        </w:rPr>
        <w:t xml:space="preserve">فالتحويل إلى أفقر 20% من الأسر ليس دخلاً أساسياً، والأدلة على نجاح التحويلات النقدية للفقراء لا تثبت تلقائياً جدوى دخل أساسي شامل على مستوى دولة كاملة.</w:t>
      </w:r>
    </w:p>
    <w:bookmarkEnd w:id="22"/>
    <w:bookmarkStart w:id="23" w:name="الجذور-الفكرية"/>
    <w:p>
      <w:pPr>
        <w:pStyle w:val="Heading2"/>
        <w:bidi/>
      </w:pPr>
      <w:r>
        <w:rPr>
          <w:rtl/>
        </w:rPr>
        <w:t xml:space="preserve">الجذور الفكرية</w:t>
      </w:r>
    </w:p>
    <w:p>
      <w:pPr>
        <w:pStyle w:val="FirstParagraph"/>
        <w:bidi/>
      </w:pPr>
      <w:r>
        <w:rPr>
          <w:rtl/>
        </w:rPr>
        <w:t xml:space="preserve">إن فكرة حق كل مواطن في حد أدنى من الحياة الكريمة فكرة ليبرالية قديمة، فقد طرح توماس بين في كتابه «العدالة الزراعية» (1797) أن لكل مواطن حقاً في نصيب من ثروة الأرض المشتركة.</w:t>
      </w:r>
      <w:r>
        <w:rPr>
          <w:rtl/>
        </w:rPr>
        <w:t xml:space="preserve"> </w:t>
      </w:r>
      <w:r>
        <w:rPr>
          <w:b/>
          <w:bCs/>
          <w:rtl/>
        </w:rPr>
        <w:t xml:space="preserve">وفي الثقافة السودانية</w:t>
      </w:r>
      <w:r>
        <w:rPr>
          <w:rtl/>
        </w:rPr>
        <w:t xml:space="preserve"> </w:t>
      </w:r>
      <w:r>
        <w:rPr>
          <w:rtl/>
        </w:rPr>
        <w:t xml:space="preserve">تتقاطع الفكرة مع قيم التكافل والنفير والزكاة، وهو ما يمنحها قبولاً اجتماعياً واسعاً.</w:t>
      </w:r>
    </w:p>
    <w:p>
      <w:pPr>
        <w:bidi/>
      </w:pPr>
      <w:r>
        <w:rPr>
          <w:rtl/>
        </w:rPr>
        <w:br w:type="page"/>
      </w:r>
    </w:p>
    <w:bookmarkEnd w:id="23"/>
    <w:bookmarkEnd w:id="24"/>
    <w:bookmarkStart w:id="25" w:name="ثانيا-لماذا-نحتاج-إليه-الآن"/>
    <w:p>
      <w:pPr>
        <w:pStyle w:val="Heading1"/>
        <w:bidi/>
      </w:pPr>
      <w:r>
        <w:rPr>
          <w:rtl/>
        </w:rPr>
        <w:t xml:space="preserve">ثانياً: لماذا نحتاج إليه الآن؟</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المؤشر</w:t>
            </w:r>
          </w:p>
        </w:tc>
        <w:tc>
          <w:tcPr/>
          <w:p>
            <w:pPr>
              <w:pStyle w:val="Compact"/>
              <w:bidi/>
              <w:jc w:val="left"/>
            </w:pPr>
            <w:r>
              <w:rPr>
                <w:rtl/>
              </w:rPr>
              <w:t xml:space="preserve">القيمة</w:t>
            </w:r>
          </w:p>
        </w:tc>
        <w:tc>
          <w:tcPr/>
          <w:p>
            <w:pPr>
              <w:pStyle w:val="Compact"/>
              <w:bidi/>
              <w:jc w:val="left"/>
            </w:pPr>
            <w:r>
              <w:rPr>
                <w:rtl/>
              </w:rPr>
              <w:t xml:space="preserve">المصدر</w:t>
            </w:r>
          </w:p>
        </w:tc>
      </w:tr>
      <w:tr>
        <w:tc>
          <w:tcPr/>
          <w:p>
            <w:pPr>
              <w:pStyle w:val="Compact"/>
              <w:bidi/>
              <w:jc w:val="left"/>
            </w:pPr>
            <w:r>
              <w:rPr>
                <w:rtl/>
              </w:rPr>
              <w:t xml:space="preserve">المحتاجون إلى مساعدات إنسانية</w:t>
            </w:r>
          </w:p>
        </w:tc>
        <w:tc>
          <w:tcPr/>
          <w:p>
            <w:pPr>
              <w:pStyle w:val="Compact"/>
              <w:bidi/>
              <w:jc w:val="left"/>
            </w:pPr>
            <w:r>
              <w:rPr>
                <w:rtl/>
              </w:rPr>
              <w:t xml:space="preserve">نحو 33.7 مليون شخص</w:t>
            </w:r>
          </w:p>
        </w:tc>
        <w:tc>
          <w:tcPr/>
          <w:p>
            <w:pPr>
              <w:pStyle w:val="Compact"/>
              <w:bidi/>
              <w:jc w:val="left"/>
            </w:pPr>
            <w:r>
              <w:rPr>
                <w:rtl/>
              </w:rPr>
              <w:t xml:space="preserve">خطة الاستجابة الإنسانية للأمم المتحدة 2026</w:t>
            </w:r>
          </w:p>
        </w:tc>
      </w:tr>
      <w:tr>
        <w:tc>
          <w:tcPr/>
          <w:p>
            <w:pPr>
              <w:pStyle w:val="Compact"/>
              <w:bidi/>
              <w:jc w:val="left"/>
            </w:pPr>
            <w:r>
              <w:rPr>
                <w:rtl/>
              </w:rPr>
              <w:t xml:space="preserve">الفقر المدقع</w:t>
            </w:r>
          </w:p>
        </w:tc>
        <w:tc>
          <w:tcPr/>
          <w:p>
            <w:pPr>
              <w:pStyle w:val="Compact"/>
              <w:bidi/>
              <w:jc w:val="left"/>
            </w:pPr>
            <w:r>
              <w:rPr>
                <w:rtl/>
              </w:rPr>
              <w:t xml:space="preserve">نحو 59% (2025)</w:t>
            </w:r>
          </w:p>
        </w:tc>
        <w:tc>
          <w:tcPr/>
          <w:p>
            <w:pPr>
              <w:pStyle w:val="Compact"/>
              <w:bidi/>
              <w:jc w:val="left"/>
            </w:pPr>
            <w:r>
              <w:rPr>
                <w:rtl/>
              </w:rPr>
              <w:t xml:space="preserve">البنك الدولي</w:t>
            </w:r>
          </w:p>
        </w:tc>
      </w:tr>
      <w:tr>
        <w:tc>
          <w:tcPr/>
          <w:p>
            <w:pPr>
              <w:pStyle w:val="Compact"/>
              <w:bidi/>
              <w:jc w:val="left"/>
            </w:pPr>
            <w:r>
              <w:rPr>
                <w:rtl/>
              </w:rPr>
              <w:t xml:space="preserve">النازحون داخلياً</w:t>
            </w:r>
          </w:p>
        </w:tc>
        <w:tc>
          <w:tcPr/>
          <w:p>
            <w:pPr>
              <w:pStyle w:val="Compact"/>
              <w:bidi/>
              <w:jc w:val="left"/>
            </w:pPr>
            <w:r>
              <w:rPr>
                <w:rtl/>
              </w:rPr>
              <w:t xml:space="preserve">نحو 8.9 مليون (مارس 2026)، وأكثر من 9 ملايين في تقديرات منتصف العام</w:t>
            </w:r>
          </w:p>
        </w:tc>
        <w:tc>
          <w:tcPr/>
          <w:p>
            <w:pPr>
              <w:pStyle w:val="Compact"/>
              <w:bidi/>
              <w:jc w:val="left"/>
            </w:pPr>
            <w:r>
              <w:rPr>
                <w:rtl/>
              </w:rPr>
              <w:t xml:space="preserve">المنظمة الدولية للهجرة؛ اليونيسف، يوليو 2026</w:t>
            </w:r>
          </w:p>
        </w:tc>
      </w:tr>
      <w:tr>
        <w:tc>
          <w:tcPr/>
          <w:p>
            <w:pPr>
              <w:pStyle w:val="Compact"/>
              <w:bidi/>
              <w:jc w:val="left"/>
            </w:pPr>
            <w:r>
              <w:rPr>
                <w:rtl/>
              </w:rPr>
              <w:t xml:space="preserve">التضخم</w:t>
            </w:r>
          </w:p>
        </w:tc>
        <w:tc>
          <w:tcPr/>
          <w:p>
            <w:pPr>
              <w:pStyle w:val="Compact"/>
              <w:bidi/>
              <w:jc w:val="left"/>
            </w:pPr>
            <w:r>
              <w:rPr>
                <w:rtl/>
              </w:rPr>
              <w:t xml:space="preserve">111.5% (متوسط 2025)</w:t>
            </w:r>
          </w:p>
        </w:tc>
        <w:tc>
          <w:tcPr/>
          <w:p>
            <w:pPr>
              <w:pStyle w:val="Compact"/>
              <w:bidi/>
              <w:jc w:val="left"/>
            </w:pPr>
            <w:r>
              <w:rPr>
                <w:rtl/>
              </w:rPr>
              <w:t xml:space="preserve">البنك الدولي</w:t>
            </w:r>
          </w:p>
        </w:tc>
      </w:tr>
    </w:tbl>
    <w:p>
      <w:pPr>
        <w:pStyle w:val="BodyText"/>
        <w:bidi/>
      </w:pPr>
      <w:r>
        <w:rPr>
          <w:rtl/>
        </w:rPr>
        <w:t xml:space="preserve">إن الحرب لم تُفقر الناس فقط، وإنما دمرت شبكات الأمان التقليدية نفسها: الأسرة الممتدة تشتتت، والمدخرات نُهبت، والأسواق انهارت. وفي هذا الوضع يمكن للدعم النقدي أن يؤدي ثلاث وظائف معاً:</w:t>
      </w:r>
      <w:r>
        <w:rPr>
          <w:rtl/>
        </w:rPr>
        <w:t xml:space="preserve"> </w:t>
      </w:r>
      <w:r>
        <w:rPr>
          <w:b/>
          <w:bCs/>
          <w:rtl/>
        </w:rPr>
        <w:t xml:space="preserve">يمنع الجوع، ويحرك الأسواق المحلية، ويعيد بناء الثقة بين المواطن والدولة.</w:t>
      </w:r>
    </w:p>
    <w:p>
      <w:pPr>
        <w:bidi/>
      </w:pPr>
      <w:r>
        <w:rPr>
          <w:rtl/>
        </w:rPr>
        <w:br w:type="page"/>
      </w:r>
    </w:p>
    <w:bookmarkEnd w:id="25"/>
    <w:bookmarkStart w:id="26" w:name="ثالثا-عقد-جديد-للحماية-الاجتماعية"/>
    <w:p>
      <w:pPr>
        <w:pStyle w:val="Heading1"/>
        <w:bidi/>
      </w:pPr>
      <w:r>
        <w:rPr>
          <w:rtl/>
        </w:rPr>
        <w:t xml:space="preserve">ثالثاً: عقد جديد للحماية الاجتماعية</w:t>
      </w:r>
    </w:p>
    <w:p>
      <w:pPr>
        <w:pStyle w:val="FirstParagraph"/>
        <w:bidi/>
      </w:pPr>
      <w:r>
        <w:rPr>
          <w:rtl/>
        </w:rPr>
        <w:t xml:space="preserve">لا تسأل هذه الورقة: هل نطبق الدخل الأساسي أم لا؟ وإنما تسأل:</w:t>
      </w:r>
      <w:r>
        <w:rPr>
          <w:rtl/>
        </w:rPr>
        <w:t xml:space="preserve"> </w:t>
      </w:r>
      <w:r>
        <w:rPr>
          <w:b/>
          <w:bCs/>
          <w:rtl/>
        </w:rPr>
        <w:t xml:space="preserve">ما هو عقد الحماية الاجتماعية الجديد الذي يحتاجه السودان؟</w:t>
      </w:r>
      <w:r>
        <w:rPr>
          <w:rtl/>
        </w:rPr>
        <w:t xml:space="preserve"> </w:t>
      </w:r>
      <w:r>
        <w:rPr>
          <w:rtl/>
        </w:rPr>
        <w:t xml:space="preserve">وتقترح أن يتكون من خمسة مستويات، تُبنى تدريجياً:</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المستوى</w:t>
            </w:r>
          </w:p>
        </w:tc>
        <w:tc>
          <w:tcPr/>
          <w:p>
            <w:pPr>
              <w:pStyle w:val="Compact"/>
              <w:bidi/>
              <w:jc w:val="left"/>
            </w:pPr>
            <w:r>
              <w:rPr>
                <w:rtl/>
              </w:rPr>
              <w:t xml:space="preserve">المضمون</w:t>
            </w:r>
          </w:p>
        </w:tc>
        <w:tc>
          <w:tcPr/>
          <w:p>
            <w:pPr>
              <w:pStyle w:val="Compact"/>
              <w:bidi/>
              <w:jc w:val="left"/>
            </w:pPr>
            <w:r>
              <w:rPr>
                <w:rtl/>
              </w:rPr>
              <w:t xml:space="preserve">متى يبدأ</w:t>
            </w:r>
          </w:p>
        </w:tc>
      </w:tr>
      <w:tr>
        <w:tc>
          <w:tcPr/>
          <w:p>
            <w:pPr>
              <w:pStyle w:val="Compact"/>
              <w:bidi/>
              <w:jc w:val="left"/>
            </w:pPr>
            <w:r>
              <w:rPr>
                <w:b/>
                <w:bCs/>
                <w:rtl/>
              </w:rPr>
              <w:t xml:space="preserve">الأول: حقوق عامة</w:t>
            </w:r>
          </w:p>
        </w:tc>
        <w:tc>
          <w:tcPr/>
          <w:p>
            <w:pPr>
              <w:pStyle w:val="Compact"/>
              <w:bidi/>
              <w:jc w:val="left"/>
            </w:pPr>
            <w:r>
              <w:rPr>
                <w:rtl/>
              </w:rPr>
              <w:t xml:space="preserve">التعليم الأساسي، والرعاية الصحية الأولية، ومياه الشرب، مجاناً للجميع</w:t>
            </w:r>
          </w:p>
        </w:tc>
        <w:tc>
          <w:tcPr/>
          <w:p>
            <w:pPr>
              <w:pStyle w:val="Compact"/>
              <w:bidi/>
              <w:jc w:val="left"/>
            </w:pPr>
            <w:r>
              <w:rPr>
                <w:rtl/>
              </w:rPr>
              <w:t xml:space="preserve">فوراً، ويتوسع طوال الانتقال</w:t>
            </w:r>
          </w:p>
        </w:tc>
      </w:tr>
      <w:tr>
        <w:tc>
          <w:tcPr/>
          <w:p>
            <w:pPr>
              <w:pStyle w:val="Compact"/>
              <w:bidi/>
              <w:jc w:val="left"/>
            </w:pPr>
            <w:r>
              <w:rPr>
                <w:b/>
                <w:bCs/>
                <w:rtl/>
              </w:rPr>
              <w:t xml:space="preserve">الثاني: أرضية اجتماعية</w:t>
            </w:r>
          </w:p>
        </w:tc>
        <w:tc>
          <w:tcPr/>
          <w:p>
            <w:pPr>
              <w:pStyle w:val="Compact"/>
              <w:bidi/>
              <w:jc w:val="left"/>
            </w:pPr>
            <w:r>
              <w:rPr>
                <w:rtl/>
              </w:rPr>
              <w:t xml:space="preserve">حماية نقدية مستهدفة للأسر الأشد فقراً</w:t>
            </w:r>
          </w:p>
        </w:tc>
        <w:tc>
          <w:tcPr/>
          <w:p>
            <w:pPr>
              <w:pStyle w:val="Compact"/>
              <w:bidi/>
              <w:jc w:val="left"/>
            </w:pPr>
            <w:r>
              <w:rPr>
                <w:rtl/>
              </w:rPr>
              <w:t xml:space="preserve">من الشهر السادس</w:t>
            </w:r>
          </w:p>
        </w:tc>
      </w:tr>
      <w:tr>
        <w:tc>
          <w:tcPr/>
          <w:p>
            <w:pPr>
              <w:pStyle w:val="Compact"/>
              <w:bidi/>
              <w:jc w:val="left"/>
            </w:pPr>
            <w:r>
              <w:rPr>
                <w:b/>
                <w:bCs/>
                <w:rtl/>
              </w:rPr>
              <w:t xml:space="preserve">الثالث: حماية من الصدمات</w:t>
            </w:r>
          </w:p>
        </w:tc>
        <w:tc>
          <w:tcPr/>
          <w:p>
            <w:pPr>
              <w:pStyle w:val="Compact"/>
              <w:bidi/>
              <w:jc w:val="left"/>
            </w:pPr>
            <w:r>
              <w:rPr>
                <w:rtl/>
              </w:rPr>
              <w:t xml:space="preserve">تحويلات إضافية مؤقتة عند الحرب أو المجاعة أو الجفاف أو الفيضانات أو انهيار الأسعار، عبر النظام نفسه</w:t>
            </w:r>
          </w:p>
        </w:tc>
        <w:tc>
          <w:tcPr/>
          <w:p>
            <w:pPr>
              <w:pStyle w:val="Compact"/>
              <w:bidi/>
              <w:jc w:val="left"/>
            </w:pPr>
            <w:r>
              <w:rPr>
                <w:rtl/>
              </w:rPr>
              <w:t xml:space="preserve">بعد تشغيل المستوى الثاني</w:t>
            </w:r>
          </w:p>
        </w:tc>
      </w:tr>
      <w:tr>
        <w:tc>
          <w:tcPr/>
          <w:p>
            <w:pPr>
              <w:pStyle w:val="Compact"/>
              <w:bidi/>
              <w:jc w:val="left"/>
            </w:pPr>
            <w:r>
              <w:rPr>
                <w:b/>
                <w:bCs/>
                <w:rtl/>
              </w:rPr>
              <w:t xml:space="preserve">الرابع: تأمين اجتماعي</w:t>
            </w:r>
          </w:p>
        </w:tc>
        <w:tc>
          <w:tcPr/>
          <w:p>
            <w:pPr>
              <w:pStyle w:val="Compact"/>
              <w:bidi/>
              <w:jc w:val="left"/>
            </w:pPr>
            <w:r>
              <w:rPr>
                <w:rtl/>
              </w:rPr>
              <w:t xml:space="preserve">إصلاح أنظمة التقاعد وإصابات العمل والأمومة، وتوسيعها تدريجياً إلى العاملين في القطاع غير الرسمي</w:t>
            </w:r>
          </w:p>
        </w:tc>
        <w:tc>
          <w:tcPr/>
          <w:p>
            <w:pPr>
              <w:pStyle w:val="Compact"/>
              <w:bidi/>
              <w:jc w:val="left"/>
            </w:pPr>
            <w:r>
              <w:rPr>
                <w:rtl/>
              </w:rPr>
              <w:t xml:space="preserve">خلال الولاية المنتخبة</w:t>
            </w:r>
          </w:p>
        </w:tc>
      </w:tr>
      <w:tr>
        <w:tc>
          <w:tcPr/>
          <w:p>
            <w:pPr>
              <w:pStyle w:val="Compact"/>
              <w:bidi/>
              <w:jc w:val="left"/>
            </w:pPr>
            <w:r>
              <w:rPr>
                <w:b/>
                <w:bCs/>
                <w:rtl/>
              </w:rPr>
              <w:t xml:space="preserve">الخامس: تجربة الدخل الأساسي</w:t>
            </w:r>
          </w:p>
        </w:tc>
        <w:tc>
          <w:tcPr/>
          <w:p>
            <w:pPr>
              <w:pStyle w:val="Compact"/>
              <w:bidi/>
              <w:jc w:val="left"/>
            </w:pPr>
            <w:r>
              <w:rPr>
                <w:rtl/>
              </w:rPr>
              <w:t xml:space="preserve">تجربة علمية محدودة، ثم تقييم، ثم قرار</w:t>
            </w:r>
          </w:p>
        </w:tc>
        <w:tc>
          <w:tcPr/>
          <w:p>
            <w:pPr>
              <w:pStyle w:val="Compact"/>
              <w:bidi/>
              <w:jc w:val="left"/>
            </w:pPr>
            <w:r>
              <w:rPr>
                <w:rtl/>
              </w:rPr>
              <w:t xml:space="preserve">من الشهر 18</w:t>
            </w:r>
          </w:p>
        </w:tc>
      </w:tr>
    </w:tbl>
    <w:p>
      <w:pPr>
        <w:pStyle w:val="BodyText"/>
        <w:bidi/>
      </w:pPr>
      <w:r>
        <w:rPr>
          <w:b/>
          <w:bCs/>
          <w:rtl/>
        </w:rPr>
        <w:t xml:space="preserve">وتستمر المساعدة الإنسانية</w:t>
      </w:r>
      <w:r>
        <w:rPr>
          <w:rtl/>
        </w:rPr>
        <w:t xml:space="preserve"> </w:t>
      </w:r>
      <w:r>
        <w:rPr>
          <w:rtl/>
        </w:rPr>
        <w:t xml:space="preserve">طوال مرحلة الانتقال من الطوارئ إلى التعافي، على أن تُنقل وظائفها تدريجياً إلى النظام الوطني، بحيث يحل النظام الحكومي محل الإغاثة الخارجية لا أن يتنافس معها.</w:t>
      </w:r>
    </w:p>
    <w:p>
      <w:pPr>
        <w:bidi/>
      </w:pPr>
      <w:r>
        <w:rPr>
          <w:rtl/>
        </w:rPr>
        <w:br w:type="page"/>
      </w:r>
    </w:p>
    <w:bookmarkEnd w:id="26"/>
    <w:bookmarkStart w:id="29" w:name="رابعا-الدراسة-الأولية-المتاحة"/>
    <w:p>
      <w:pPr>
        <w:pStyle w:val="Heading1"/>
        <w:bidi/>
      </w:pPr>
      <w:r>
        <w:rPr>
          <w:rtl/>
        </w:rPr>
        <w:t xml:space="preserve">رابعاً: الدراسة الأولية المتاحة</w:t>
      </w:r>
    </w:p>
    <w:p>
      <w:pPr>
        <w:pStyle w:val="FirstParagraph"/>
        <w:bidi/>
      </w:pPr>
      <w:r>
        <w:rPr>
          <w:rtl/>
        </w:rPr>
        <w:t xml:space="preserve">أعدّت جهة استشارية خاصة في يوليو 2025 دراسة أولية بعنوان «مدخل إلى التوفير الشامل في السودان بعد النزاع». وهي أول محاولة لتقدير كلفة دخل أساسي شامل في السودان، وتستحق التقدير على ذلك. وأهم ما تقترحه:</w:t>
      </w:r>
    </w:p>
    <w:p>
      <w:pPr>
        <w:pStyle w:val="Compact"/>
        <w:numPr>
          <w:ilvl w:val="0"/>
          <w:numId w:val="1001"/>
        </w:numPr>
        <w:bidi/>
      </w:pPr>
      <w:r>
        <w:rPr>
          <w:b/>
          <w:bCs/>
          <w:rtl/>
        </w:rPr>
        <w:t xml:space="preserve">المبلغ:</w:t>
      </w:r>
      <w:r>
        <w:rPr>
          <w:rtl/>
        </w:rPr>
        <w:t xml:space="preserve"> </w:t>
      </w:r>
      <w:r>
        <w:rPr>
          <w:b/>
          <w:bCs/>
          <w:rtl/>
        </w:rPr>
        <w:t xml:space="preserve">50 دولاراً شهرياً لكل شخص بالغ</w:t>
      </w:r>
      <w:r>
        <w:rPr>
          <w:rtl/>
        </w:rPr>
        <w:t xml:space="preserve">. فالأسرة المكونة من بالغين اثنين تحصل على 100 دولار، والأسرة التي فيها ثلاثة بالغين على 150 دولاراً. ومتوسط الأسرة السودانية نحو 5.75 فرداً، أي نحو ثلاثة بالغين.</w:t>
      </w:r>
    </w:p>
    <w:p>
      <w:pPr>
        <w:pStyle w:val="Compact"/>
        <w:numPr>
          <w:ilvl w:val="0"/>
          <w:numId w:val="1001"/>
        </w:numPr>
        <w:bidi/>
      </w:pPr>
      <w:r>
        <w:rPr>
          <w:b/>
          <w:bCs/>
          <w:rtl/>
        </w:rPr>
        <w:t xml:space="preserve">التغطية:</w:t>
      </w:r>
      <w:r>
        <w:rPr>
          <w:rtl/>
        </w:rPr>
        <w:t xml:space="preserve"> </w:t>
      </w:r>
      <w:r>
        <w:rPr>
          <w:rtl/>
        </w:rPr>
        <w:t xml:space="preserve">كل من بلغ الثامنة عشرة، أي نحو 28.5 مليون شخص (سكان 53,125,882 لعام 2026، ونسبة من هم فوق 18 سنة نحو 53.7%، مشتقة من نسبة من هم فوق 15 سنة البالغة 60.18% بخصم الفئة 15–17).</w:t>
      </w:r>
    </w:p>
    <w:p>
      <w:pPr>
        <w:pStyle w:val="Compact"/>
        <w:numPr>
          <w:ilvl w:val="0"/>
          <w:numId w:val="1001"/>
        </w:numPr>
        <w:bidi/>
      </w:pPr>
      <w:r>
        <w:rPr>
          <w:b/>
          <w:bCs/>
          <w:rtl/>
        </w:rPr>
        <w:t xml:space="preserve">الكلفة:</w:t>
      </w:r>
      <w:r>
        <w:rPr>
          <w:rtl/>
        </w:rPr>
        <w:t xml:space="preserve"> </w:t>
      </w:r>
      <w:r>
        <w:rPr>
          <w:rtl/>
        </w:rPr>
        <w:t xml:space="preserve">نحو 17.1 مليار دولار سنوياً (28.5 مليون بالغ × 50 × 12).</w:t>
      </w:r>
    </w:p>
    <w:p>
      <w:pPr>
        <w:pStyle w:val="Compact"/>
        <w:numPr>
          <w:ilvl w:val="0"/>
          <w:numId w:val="1001"/>
        </w:numPr>
        <w:bidi/>
      </w:pPr>
      <w:r>
        <w:rPr>
          <w:b/>
          <w:bCs/>
          <w:rtl/>
        </w:rPr>
        <w:t xml:space="preserve">التمويل المقترح:</w:t>
      </w:r>
      <w:r>
        <w:rPr>
          <w:rtl/>
        </w:rPr>
        <w:t xml:space="preserve"> </w:t>
      </w:r>
      <w:r>
        <w:rPr>
          <w:rtl/>
        </w:rPr>
        <w:t xml:space="preserve">عملة رقمية مغطاة بالذهب والمعادن.</w:t>
      </w:r>
    </w:p>
    <w:bookmarkStart w:id="27" w:name="طبيعة-مبلغ-50-دولارا"/>
    <w:p>
      <w:pPr>
        <w:pStyle w:val="Heading2"/>
        <w:bidi/>
      </w:pPr>
      <w:r>
        <w:rPr>
          <w:rtl/>
        </w:rPr>
        <w:t xml:space="preserve">طبيعة مبلغ 50 دولاراً</w:t>
      </w:r>
    </w:p>
    <w:p>
      <w:pPr>
        <w:pStyle w:val="FirstParagraph"/>
        <w:bidi/>
      </w:pPr>
      <w:r>
        <w:rPr>
          <w:rtl/>
        </w:rPr>
        <w:t xml:space="preserve">إن هذا المبلغ ليس خط فقر محسوباً، ولا كلفة سلة احتياجات مقاسة ميدانياً، وإنما هو</w:t>
      </w:r>
      <w:r>
        <w:rPr>
          <w:rtl/>
        </w:rPr>
        <w:t xml:space="preserve"> </w:t>
      </w:r>
      <w:r>
        <w:rPr>
          <w:b/>
          <w:bCs/>
          <w:rtl/>
        </w:rPr>
        <w:t xml:space="preserve">مبلغ افتراضي</w:t>
      </w:r>
      <w:r>
        <w:rPr>
          <w:rtl/>
        </w:rPr>
        <w:t xml:space="preserve">، يقع بين مستوى برنامج دعم الأسر السودانية (5 دولارات للفرد شهرياً) ومستوى خط الفقر الدولي.</w:t>
      </w:r>
      <w:r>
        <w:rPr>
          <w:rtl/>
        </w:rPr>
        <w:t xml:space="preserve"> </w:t>
      </w:r>
      <w:r>
        <w:rPr>
          <w:b/>
          <w:bCs/>
          <w:rtl/>
        </w:rPr>
        <w:t xml:space="preserve">ويُدفع للبالغين دون الأطفال</w:t>
      </w:r>
      <w:r>
        <w:rPr>
          <w:rtl/>
        </w:rPr>
        <w:t xml:space="preserve">، لسببين: أنه يخفض الكلفة إلى نحو النصف، وأنه يتجنب حافزاً غير مقصود لزيادة عدد الأطفال. ولذلك تستخدمه هذه الورقة لحساب الكلفة وتصميم التجربة الرائدة،</w:t>
      </w:r>
      <w:r>
        <w:rPr>
          <w:rtl/>
        </w:rPr>
        <w:t xml:space="preserve"> </w:t>
      </w:r>
      <w:r>
        <w:rPr>
          <w:b/>
          <w:bCs/>
          <w:rtl/>
        </w:rPr>
        <w:t xml:space="preserve">لا بوصفه قيمة معيارية نهائية للدخل الأساسي</w:t>
      </w:r>
      <w:r>
        <w:rPr>
          <w:rtl/>
        </w:rPr>
        <w:t xml:space="preserve">. والقيمة المناسبة تُحدَّد لاحقاً بدراسة لكلفة سلة الاحتياجات الأساسية في كل إقليم.</w:t>
      </w:r>
    </w:p>
    <w:bookmarkEnd w:id="27"/>
    <w:bookmarkStart w:id="28" w:name="تقييم-الدراسة"/>
    <w:p>
      <w:pPr>
        <w:pStyle w:val="Heading2"/>
        <w:bidi/>
      </w:pPr>
      <w:r>
        <w:rPr>
          <w:rtl/>
        </w:rPr>
        <w:t xml:space="preserve">تقييم الدراسة</w:t>
      </w:r>
    </w:p>
    <w:p>
      <w:pPr>
        <w:pStyle w:val="FirstParagraph"/>
        <w:bidi/>
      </w:pPr>
      <w:r>
        <w:rPr>
          <w:b/>
          <w:bCs/>
          <w:rtl/>
        </w:rPr>
        <w:t xml:space="preserve">ما هو مفيد فيها:</w:t>
      </w:r>
      <w:r>
        <w:rPr>
          <w:rtl/>
        </w:rPr>
        <w:t xml:space="preserve"> </w:t>
      </w:r>
      <w:r>
        <w:rPr>
          <w:rtl/>
        </w:rPr>
        <w:t xml:space="preserve">إنها تضع الرقم الحقيقي أمامنا بوضوح، وتبيّن حجم الفجوة بين الطموح والإمكانات.</w:t>
      </w:r>
    </w:p>
    <w:p>
      <w:pPr>
        <w:pStyle w:val="BodyText"/>
        <w:bidi/>
      </w:pPr>
      <w:r>
        <w:rPr>
          <w:b/>
          <w:bCs/>
          <w:rtl/>
        </w:rPr>
        <w:t xml:space="preserve">وما يحتاج إلى تصحيح:</w:t>
      </w:r>
    </w:p>
    <w:p>
      <w:pPr>
        <w:pStyle w:val="Compact"/>
        <w:numPr>
          <w:ilvl w:val="0"/>
          <w:numId w:val="1002"/>
        </w:numPr>
        <w:bidi/>
      </w:pPr>
      <w:r>
        <w:rPr>
          <w:b/>
          <w:bCs/>
          <w:rtl/>
        </w:rPr>
        <w:t xml:space="preserve">الكلفة غير ممكنة مالياً.</w:t>
      </w:r>
      <w:r>
        <w:rPr>
          <w:rtl/>
        </w:rPr>
        <w:t xml:space="preserve"> </w:t>
      </w:r>
      <w:r>
        <w:rPr>
          <w:rtl/>
        </w:rPr>
        <w:t xml:space="preserve">إن 17.1 مليار دولار سنوياً تعادل نحو 28% من الناتج المحلي لعام 2025 (60.2 مليار دولار)، ونحو سبعة أضعاف إيرادات الدولة الحالية.</w:t>
      </w:r>
    </w:p>
    <w:p>
      <w:pPr>
        <w:pStyle w:val="Compact"/>
        <w:numPr>
          <w:ilvl w:val="0"/>
          <w:numId w:val="1002"/>
        </w:numPr>
        <w:bidi/>
      </w:pPr>
      <w:r>
        <w:rPr>
          <w:b/>
          <w:bCs/>
          <w:rtl/>
        </w:rPr>
        <w:t xml:space="preserve">بعض الأرقام الكلية تختلف عن المصادر المعتمدة في الرؤية</w:t>
      </w:r>
      <w:r>
        <w:rPr>
          <w:rtl/>
        </w:rPr>
        <w:t xml:space="preserve">، كالدين العام (272% في الدراسة مقابل 128.5% وفق البنك الدولي)، ويعود جزء من الفرق إلى اختلاف سنوات القياس وأسعار الصرف.</w:t>
      </w:r>
    </w:p>
    <w:p>
      <w:pPr>
        <w:pStyle w:val="Compact"/>
        <w:numPr>
          <w:ilvl w:val="0"/>
          <w:numId w:val="1002"/>
        </w:numPr>
        <w:bidi/>
      </w:pPr>
      <w:r>
        <w:rPr>
          <w:b/>
          <w:bCs/>
          <w:rtl/>
        </w:rPr>
        <w:t xml:space="preserve">العملة الرقمية المغطاة بالذهب غير مناسبة</w:t>
      </w:r>
      <w:r>
        <w:rPr>
          <w:rtl/>
        </w:rPr>
        <w:t xml:space="preserve">: فهي تعني رهن ثروات لم تُستخرج بعد، وتضيف مخاطر تقنية وتنظيمية في بلد يحظر بنكه المركزي العملات المشفرة، وتعرّض دخل الفقراء لتقلبات أسعار الذهب، ولا تحل مشكلة نقص الموارد.</w:t>
      </w:r>
    </w:p>
    <w:p>
      <w:pPr>
        <w:pStyle w:val="Compact"/>
        <w:numPr>
          <w:ilvl w:val="0"/>
          <w:numId w:val="1002"/>
        </w:numPr>
        <w:bidi/>
      </w:pPr>
      <w:r>
        <w:rPr>
          <w:b/>
          <w:bCs/>
          <w:rtl/>
        </w:rPr>
        <w:t xml:space="preserve">سرعة دوران النقود ليست مصدراً للثروة.</w:t>
      </w:r>
      <w:r>
        <w:rPr>
          <w:rtl/>
        </w:rPr>
        <w:t xml:space="preserve"> </w:t>
      </w:r>
      <w:r>
        <w:rPr>
          <w:rtl/>
        </w:rPr>
        <w:t xml:space="preserve">فحساب «أثر اقتصادي» بمضاعفة المبلغ في سرعة الدوران لا يصمد، وضخ نقود دون إنتاج مقابل يرفع التضخم، وهو أول ما يأكل دخل الفقراء.</w:t>
      </w:r>
    </w:p>
    <w:p>
      <w:pPr>
        <w:bidi/>
      </w:pPr>
      <w:r>
        <w:rPr>
          <w:rtl/>
        </w:rPr>
        <w:br w:type="page"/>
      </w:r>
    </w:p>
    <w:bookmarkEnd w:id="28"/>
    <w:bookmarkEnd w:id="29"/>
    <w:bookmarkStart w:id="30" w:name="خامسا-ماذا-تقول-الأدلة-وما-حدودها"/>
    <w:p>
      <w:pPr>
        <w:pStyle w:val="Heading1"/>
        <w:bidi/>
      </w:pPr>
      <w:r>
        <w:rPr>
          <w:rtl/>
        </w:rPr>
        <w:t xml:space="preserve">خامساً: ماذا تقول الأدلة، وما حدودها؟</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الدليل</w:t>
            </w:r>
          </w:p>
        </w:tc>
        <w:tc>
          <w:tcPr/>
          <w:p>
            <w:pPr>
              <w:pStyle w:val="Compact"/>
              <w:bidi/>
              <w:jc w:val="left"/>
            </w:pPr>
            <w:r>
              <w:rPr>
                <w:rtl/>
              </w:rPr>
              <w:t xml:space="preserve">ما يثبته</w:t>
            </w:r>
          </w:p>
        </w:tc>
        <w:tc>
          <w:tcPr/>
          <w:p>
            <w:pPr>
              <w:pStyle w:val="Compact"/>
              <w:bidi/>
              <w:jc w:val="left"/>
            </w:pPr>
            <w:r>
              <w:rPr>
                <w:rtl/>
              </w:rPr>
              <w:t xml:space="preserve">حدوده</w:t>
            </w:r>
          </w:p>
        </w:tc>
      </w:tr>
      <w:tr>
        <w:tc>
          <w:tcPr/>
          <w:p>
            <w:pPr>
              <w:pStyle w:val="Compact"/>
              <w:bidi/>
              <w:jc w:val="left"/>
            </w:pPr>
            <w:r>
              <w:rPr>
                <w:b/>
                <w:bCs/>
                <w:rtl/>
              </w:rPr>
              <w:t xml:space="preserve">برنامج دعم الأسر السودانية «ثمرات»</w:t>
            </w:r>
            <w:r>
              <w:rPr>
                <w:rtl/>
              </w:rPr>
              <w:t xml:space="preserve"> </w:t>
            </w:r>
            <w:r>
              <w:rPr>
                <w:rtl/>
              </w:rPr>
              <w:t xml:space="preserve">(2021، بتمويل البنك الدولي، 5 دولارات للفرد شهرياً)</w:t>
            </w:r>
          </w:p>
        </w:tc>
        <w:tc>
          <w:tcPr/>
          <w:p>
            <w:pPr>
              <w:pStyle w:val="Compact"/>
              <w:bidi/>
              <w:jc w:val="left"/>
            </w:pPr>
            <w:r>
              <w:rPr>
                <w:rtl/>
              </w:rPr>
              <w:t xml:space="preserve">أن السودان قادر على تشغيل برنامج تحويلات نقدية واسع عبر التسجيل الرقمي</w:t>
            </w:r>
          </w:p>
        </w:tc>
        <w:tc>
          <w:tcPr/>
          <w:p>
            <w:pPr>
              <w:pStyle w:val="Compact"/>
              <w:bidi/>
              <w:jc w:val="left"/>
            </w:pPr>
            <w:r>
              <w:rPr>
                <w:rtl/>
              </w:rPr>
              <w:t xml:space="preserve">توقف بعد انقلاب 2021؛ لم يُنشر تقييم شامل لأثره</w:t>
            </w:r>
          </w:p>
        </w:tc>
      </w:tr>
      <w:tr>
        <w:tc>
          <w:tcPr/>
          <w:p>
            <w:pPr>
              <w:pStyle w:val="Compact"/>
              <w:bidi/>
              <w:jc w:val="left"/>
            </w:pPr>
            <w:r>
              <w:rPr>
                <w:b/>
                <w:bCs/>
                <w:rtl/>
              </w:rPr>
              <w:t xml:space="preserve">تجربة أوتجيفيرو–أوميتارا في ناميبيا</w:t>
            </w:r>
            <w:r>
              <w:rPr>
                <w:rtl/>
              </w:rPr>
              <w:t xml:space="preserve"> </w:t>
            </w:r>
            <w:r>
              <w:rPr>
                <w:rtl/>
              </w:rPr>
              <w:t xml:space="preserve">(2008–2009)</w:t>
            </w:r>
          </w:p>
        </w:tc>
        <w:tc>
          <w:tcPr/>
          <w:p>
            <w:pPr>
              <w:pStyle w:val="Compact"/>
              <w:bidi/>
              <w:jc w:val="left"/>
            </w:pPr>
            <w:r>
              <w:rPr>
                <w:rtl/>
              </w:rPr>
              <w:t xml:space="preserve">مؤشرات أولية على آثار إيجابية للتحويل النقدي الشامل في مجتمع صغير، في التغذية والالتحاق بالمدارس</w:t>
            </w:r>
          </w:p>
        </w:tc>
        <w:tc>
          <w:tcPr/>
          <w:p>
            <w:pPr>
              <w:pStyle w:val="Compact"/>
              <w:bidi/>
              <w:jc w:val="left"/>
            </w:pPr>
            <w:r>
              <w:rPr>
                <w:rtl/>
              </w:rPr>
              <w:t xml:space="preserve">لم تكن تجربة عشوائية محكمة، ولا تكفي وحدها لإثبات قابلية تعميم النموذج على دولة بأكملها</w:t>
            </w:r>
          </w:p>
        </w:tc>
      </w:tr>
      <w:tr>
        <w:tc>
          <w:tcPr/>
          <w:p>
            <w:pPr>
              <w:pStyle w:val="Compact"/>
              <w:bidi/>
              <w:jc w:val="left"/>
            </w:pPr>
            <w:r>
              <w:rPr>
                <w:b/>
                <w:bCs/>
                <w:rtl/>
              </w:rPr>
              <w:t xml:space="preserve">دراسات التحويلات النقدية طويلة الأمد في كينيا</w:t>
            </w:r>
          </w:p>
        </w:tc>
        <w:tc>
          <w:tcPr/>
          <w:p>
            <w:pPr>
              <w:pStyle w:val="Compact"/>
              <w:bidi/>
              <w:jc w:val="left"/>
            </w:pPr>
            <w:r>
              <w:rPr>
                <w:rtl/>
              </w:rPr>
              <w:t xml:space="preserve">أدلة متزايدة، بعضها من تجارب عشوائية، على آثار إيجابية للتحويلات النقدية في الاستهلاك والأصول والنشاط الاقتصادي، دون تراجع ملموس في العمل</w:t>
            </w:r>
          </w:p>
        </w:tc>
        <w:tc>
          <w:tcPr/>
          <w:p>
            <w:pPr>
              <w:pStyle w:val="Compact"/>
              <w:bidi/>
              <w:jc w:val="left"/>
            </w:pPr>
            <w:r>
              <w:rPr>
                <w:rtl/>
              </w:rPr>
              <w:t xml:space="preserve">تتعلق بتحويلات نقدية في مجتمعات محددة، لا بدخل أساسي شامل على مستوى دولة</w:t>
            </w:r>
          </w:p>
        </w:tc>
      </w:tr>
    </w:tbl>
    <w:p>
      <w:pPr>
        <w:pStyle w:val="BodyText"/>
        <w:bidi/>
      </w:pPr>
      <w:r>
        <w:rPr>
          <w:b/>
          <w:bCs/>
          <w:rtl/>
        </w:rPr>
        <w:t xml:space="preserve">والخلاصة الصادقة:</w:t>
      </w:r>
      <w:r>
        <w:rPr>
          <w:rtl/>
        </w:rPr>
        <w:t xml:space="preserve"> </w:t>
      </w:r>
      <w:r>
        <w:rPr>
          <w:rtl/>
        </w:rPr>
        <w:t xml:space="preserve">إن الأدلة الدولية على</w:t>
      </w:r>
      <w:r>
        <w:rPr>
          <w:rtl/>
        </w:rPr>
        <w:t xml:space="preserve"> </w:t>
      </w:r>
      <w:r>
        <w:rPr>
          <w:b/>
          <w:bCs/>
          <w:rtl/>
        </w:rPr>
        <w:t xml:space="preserve">التحويلات النقدية</w:t>
      </w:r>
      <w:r>
        <w:rPr>
          <w:rtl/>
        </w:rPr>
        <w:t xml:space="preserve"> </w:t>
      </w:r>
      <w:r>
        <w:rPr>
          <w:rtl/>
        </w:rPr>
        <w:t xml:space="preserve">مشجعة في مجالات عديدة، لكن الأدلة على الانتقال من تجارب محلية إلى</w:t>
      </w:r>
      <w:r>
        <w:rPr>
          <w:rtl/>
        </w:rPr>
        <w:t xml:space="preserve"> </w:t>
      </w:r>
      <w:r>
        <w:rPr>
          <w:b/>
          <w:bCs/>
          <w:rtl/>
        </w:rPr>
        <w:t xml:space="preserve">دخل أساسي شامل على مستوى دولة كاملة</w:t>
      </w:r>
      <w:r>
        <w:rPr>
          <w:rtl/>
        </w:rPr>
        <w:t xml:space="preserve"> </w:t>
      </w:r>
      <w:r>
        <w:rPr>
          <w:rtl/>
        </w:rPr>
        <w:t xml:space="preserve">أقل مباشرة. فالفرق بين الحالتين كبير في حجم التمويل، وسلوك سوق العمل، والتضخم المحلي، والهجرة، والضرائب، والقدرة الإدارية.</w:t>
      </w:r>
      <w:r>
        <w:rPr>
          <w:rtl/>
        </w:rPr>
        <w:t xml:space="preserve"> </w:t>
      </w:r>
      <w:r>
        <w:rPr>
          <w:b/>
          <w:bCs/>
          <w:rtl/>
        </w:rPr>
        <w:t xml:space="preserve">ولهذا بالتحديد تقترح الورقة: جرّب، وقِس، ثم قرر.</w:t>
      </w:r>
    </w:p>
    <w:p>
      <w:pPr>
        <w:bidi/>
      </w:pPr>
      <w:r>
        <w:rPr>
          <w:rtl/>
        </w:rPr>
        <w:br w:type="page"/>
      </w:r>
    </w:p>
    <w:bookmarkEnd w:id="30"/>
    <w:bookmarkStart w:id="34" w:name="سادسا-المسار-المقترح"/>
    <w:p>
      <w:pPr>
        <w:pStyle w:val="Heading1"/>
        <w:bidi/>
      </w:pPr>
      <w:r>
        <w:rPr>
          <w:rtl/>
        </w:rPr>
        <w:t xml:space="preserve">سادساً: المسار المقترح</w:t>
      </w:r>
    </w:p>
    <w:bookmarkStart w:id="31" w:name="الطبقة-الأولى-الخدمات-الأساسية-الشاملة"/>
    <w:p>
      <w:pPr>
        <w:pStyle w:val="Heading2"/>
        <w:bidi/>
      </w:pPr>
      <w:r>
        <w:rPr>
          <w:rtl/>
        </w:rPr>
        <w:t xml:space="preserve">الطبقة الأولى: الخدمات الأساسية الشاملة</w:t>
      </w:r>
    </w:p>
    <w:p>
      <w:pPr>
        <w:pStyle w:val="FirstParagraph"/>
        <w:bidi/>
      </w:pPr>
      <w:r>
        <w:rPr>
          <w:rtl/>
        </w:rPr>
        <w:t xml:space="preserve">التعليم الأساسي والرعاية الصحية الأولية ومياه الشرب الآمنة</w:t>
      </w:r>
      <w:r>
        <w:rPr>
          <w:rtl/>
        </w:rPr>
        <w:t xml:space="preserve"> </w:t>
      </w:r>
      <w:r>
        <w:rPr>
          <w:b/>
          <w:bCs/>
          <w:rtl/>
        </w:rPr>
        <w:t xml:space="preserve">مجانية ومتاحة للجميع</w:t>
      </w:r>
      <w:r>
        <w:rPr>
          <w:rtl/>
        </w:rPr>
        <w:t xml:space="preserve">، دون اختبار للدخل. وهي الطبقة الأوسع أثراً، لأنها لا تتطلب تحديد المستحقين، فتتجنب أخطاء الاستهداف وكلفته. ويأتي تمويلها من الموازنة (بهدف 10% لكل من التعليم والصحة للحكومة المنتخبة) ومن الشركاء الدوليين.</w:t>
      </w:r>
    </w:p>
    <w:bookmarkEnd w:id="31"/>
    <w:bookmarkStart w:id="32" w:name="الطبقة-الثانية-الحماية-النقدية-المستهدفة"/>
    <w:p>
      <w:pPr>
        <w:pStyle w:val="Heading2"/>
        <w:bidi/>
      </w:pPr>
      <w:r>
        <w:rPr>
          <w:rtl/>
        </w:rPr>
        <w:t xml:space="preserve">الطبقة الثانية: الحماية النقدية المستهدفة</w:t>
      </w:r>
    </w:p>
    <w:p>
      <w:pPr>
        <w:pStyle w:val="FirstParagraph"/>
        <w:bidi/>
      </w:pPr>
      <w:r>
        <w:rPr>
          <w:rtl/>
        </w:rPr>
        <w:t xml:space="preserve">تحويلات نقدية منتظمة للأسر الأشد فقراً. وهي أيضاً</w:t>
      </w:r>
      <w:r>
        <w:rPr>
          <w:rtl/>
        </w:rPr>
        <w:t xml:space="preserve"> </w:t>
      </w:r>
      <w:r>
        <w:rPr>
          <w:b/>
          <w:bCs/>
          <w:rtl/>
        </w:rPr>
        <w:t xml:space="preserve">شرط مسبق لإصلاح الدعم</w:t>
      </w:r>
      <w:r>
        <w:rPr>
          <w:rtl/>
        </w:rPr>
        <w:t xml:space="preserve">، حتى لا يدفع الفقراء ثمن رفع الدعم عن السلع.</w:t>
      </w:r>
    </w:p>
    <w:p>
      <w:pPr>
        <w:pStyle w:val="BodyText"/>
        <w:bidi/>
      </w:pPr>
      <w:r>
        <w:rPr>
          <w:b/>
          <w:bCs/>
          <w:rtl/>
        </w:rPr>
        <w:t xml:space="preserve">تعريف الأسر المستحقة:</w:t>
      </w:r>
      <w:r>
        <w:rPr>
          <w:rtl/>
        </w:rPr>
        <w:t xml:space="preserve"> </w:t>
      </w:r>
      <w:r>
        <w:rPr>
          <w:rtl/>
        </w:rPr>
        <w:t xml:space="preserve">الأسر في</w:t>
      </w:r>
      <w:r>
        <w:rPr>
          <w:rtl/>
        </w:rPr>
        <w:t xml:space="preserve"> </w:t>
      </w:r>
      <w:r>
        <w:rPr>
          <w:b/>
          <w:bCs/>
          <w:rtl/>
        </w:rPr>
        <w:t xml:space="preserve">الخُمس الأفقر</w:t>
      </w:r>
      <w:r>
        <w:rPr>
          <w:rtl/>
        </w:rPr>
        <w:t xml:space="preserve"> </w:t>
      </w:r>
      <w:r>
        <w:rPr>
          <w:rtl/>
        </w:rPr>
        <w:t xml:space="preserve">من السكان، أي نحو</w:t>
      </w:r>
      <w:r>
        <w:rPr>
          <w:rtl/>
        </w:rPr>
        <w:t xml:space="preserve"> </w:t>
      </w:r>
      <w:r>
        <w:rPr>
          <w:b/>
          <w:bCs/>
          <w:rtl/>
        </w:rPr>
        <w:t xml:space="preserve">1.85 مليون أسرة</w:t>
      </w:r>
      <w:r>
        <w:rPr>
          <w:rtl/>
        </w:rPr>
        <w:t xml:space="preserve">، وفق معايير معلنة تجمع بين مؤشرات الفقر والهشاشة (النزوح، وإعالة النساء، والإعاقة، وعدد الأطفال). وتُحدَّد القائمة بمسح ميداني، ويُراجَع تعريف المستحقين كل عامين.</w:t>
      </w:r>
    </w:p>
    <w:p>
      <w:pPr>
        <w:pStyle w:val="BodyText"/>
        <w:bidi/>
      </w:pPr>
      <w:r>
        <w:rPr>
          <w:b/>
          <w:bCs/>
          <w:rtl/>
        </w:rPr>
        <w:t xml:space="preserve">خيارات الكلفة (تقديرات توضيحية عند التغطية الكاملة):</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الخيار</w:t>
            </w:r>
          </w:p>
        </w:tc>
        <w:tc>
          <w:tcPr/>
          <w:p>
            <w:pPr>
              <w:pStyle w:val="Compact"/>
              <w:bidi/>
              <w:jc w:val="left"/>
            </w:pPr>
            <w:r>
              <w:rPr>
                <w:rtl/>
              </w:rPr>
              <w:t xml:space="preserve">التغطية</w:t>
            </w:r>
          </w:p>
        </w:tc>
        <w:tc>
          <w:tcPr/>
          <w:p>
            <w:pPr>
              <w:pStyle w:val="Compact"/>
              <w:bidi/>
              <w:jc w:val="left"/>
            </w:pPr>
            <w:r>
              <w:rPr>
                <w:rtl/>
              </w:rPr>
              <w:t xml:space="preserve">المبلغ الشهري</w:t>
            </w:r>
          </w:p>
        </w:tc>
        <w:tc>
          <w:tcPr/>
          <w:p>
            <w:pPr>
              <w:pStyle w:val="Compact"/>
              <w:bidi/>
              <w:jc w:val="left"/>
            </w:pPr>
            <w:r>
              <w:rPr>
                <w:rtl/>
              </w:rPr>
              <w:t xml:space="preserve">الكلفة السنوية التقريبية</w:t>
            </w:r>
          </w:p>
        </w:tc>
      </w:tr>
      <w:tr>
        <w:tc>
          <w:tcPr/>
          <w:p>
            <w:pPr>
              <w:pStyle w:val="Compact"/>
              <w:bidi/>
              <w:jc w:val="left"/>
            </w:pPr>
            <w:r>
              <w:rPr>
                <w:b/>
                <w:bCs/>
                <w:rtl/>
              </w:rPr>
              <w:t xml:space="preserve">الأشد فقراً</w:t>
            </w:r>
            <w:r>
              <w:rPr>
                <w:rtl/>
              </w:rPr>
              <w:t xml:space="preserve"> </w:t>
            </w:r>
            <w:r>
              <w:rPr>
                <w:rtl/>
              </w:rPr>
              <w:t xml:space="preserve">(الخيار المعتمد)</w:t>
            </w:r>
          </w:p>
        </w:tc>
        <w:tc>
          <w:tcPr/>
          <w:p>
            <w:pPr>
              <w:pStyle w:val="Compact"/>
              <w:bidi/>
              <w:jc w:val="left"/>
            </w:pPr>
            <w:r>
              <w:rPr>
                <w:rtl/>
              </w:rPr>
              <w:t xml:space="preserve">20% من الأسر (نحو 1.85 مليون)</w:t>
            </w:r>
          </w:p>
        </w:tc>
        <w:tc>
          <w:tcPr/>
          <w:p>
            <w:pPr>
              <w:pStyle w:val="Compact"/>
              <w:bidi/>
              <w:jc w:val="left"/>
            </w:pPr>
            <w:r>
              <w:rPr>
                <w:rtl/>
              </w:rPr>
              <w:t xml:space="preserve">100 دولار للأسرة</w:t>
            </w:r>
          </w:p>
        </w:tc>
        <w:tc>
          <w:tcPr/>
          <w:p>
            <w:pPr>
              <w:pStyle w:val="Compact"/>
              <w:bidi/>
              <w:jc w:val="left"/>
            </w:pPr>
            <w:r>
              <w:rPr>
                <w:rtl/>
              </w:rPr>
              <w:t xml:space="preserve">نحو 2.2 مليار دولار</w:t>
            </w:r>
          </w:p>
        </w:tc>
      </w:tr>
      <w:tr>
        <w:tc>
          <w:tcPr/>
          <w:p>
            <w:pPr>
              <w:pStyle w:val="Compact"/>
              <w:bidi/>
              <w:jc w:val="left"/>
            </w:pPr>
            <w:r>
              <w:rPr>
                <w:b/>
                <w:bCs/>
                <w:rtl/>
              </w:rPr>
              <w:t xml:space="preserve">تغطية أوسع بمبلغ أقل</w:t>
            </w:r>
          </w:p>
        </w:tc>
        <w:tc>
          <w:tcPr/>
          <w:p>
            <w:pPr>
              <w:pStyle w:val="Compact"/>
              <w:bidi/>
              <w:jc w:val="left"/>
            </w:pPr>
            <w:r>
              <w:rPr>
                <w:rtl/>
              </w:rPr>
              <w:t xml:space="preserve">40% من الأسر (نحو 3.7 مليون)</w:t>
            </w:r>
          </w:p>
        </w:tc>
        <w:tc>
          <w:tcPr/>
          <w:p>
            <w:pPr>
              <w:pStyle w:val="Compact"/>
              <w:bidi/>
              <w:jc w:val="left"/>
            </w:pPr>
            <w:r>
              <w:rPr>
                <w:rtl/>
              </w:rPr>
              <w:t xml:space="preserve">50 دولاراً للأسرة</w:t>
            </w:r>
          </w:p>
        </w:tc>
        <w:tc>
          <w:tcPr/>
          <w:p>
            <w:pPr>
              <w:pStyle w:val="Compact"/>
              <w:bidi/>
              <w:jc w:val="left"/>
            </w:pPr>
            <w:r>
              <w:rPr>
                <w:rtl/>
              </w:rPr>
              <w:t xml:space="preserve">نحو 2.2 مليار دولار</w:t>
            </w:r>
          </w:p>
        </w:tc>
      </w:tr>
      <w:tr>
        <w:tc>
          <w:tcPr/>
          <w:p>
            <w:pPr>
              <w:pStyle w:val="Compact"/>
              <w:bidi/>
              <w:jc w:val="left"/>
            </w:pPr>
            <w:r>
              <w:rPr>
                <w:b/>
                <w:bCs/>
                <w:rtl/>
              </w:rPr>
              <w:t xml:space="preserve">الدخل الأساسي الشامل</w:t>
            </w:r>
            <w:r>
              <w:rPr>
                <w:rtl/>
              </w:rPr>
              <w:t xml:space="preserve"> </w:t>
            </w:r>
            <w:r>
              <w:rPr>
                <w:rtl/>
              </w:rPr>
              <w:t xml:space="preserve">(المقترح المعدَّل)</w:t>
            </w:r>
          </w:p>
        </w:tc>
        <w:tc>
          <w:tcPr/>
          <w:p>
            <w:pPr>
              <w:pStyle w:val="Compact"/>
              <w:bidi/>
              <w:jc w:val="left"/>
            </w:pPr>
            <w:r>
              <w:rPr>
                <w:rtl/>
              </w:rPr>
              <w:t xml:space="preserve">كل من بلغ 18 سنة (نحو 28.5 مليون)</w:t>
            </w:r>
          </w:p>
        </w:tc>
        <w:tc>
          <w:tcPr/>
          <w:p>
            <w:pPr>
              <w:pStyle w:val="Compact"/>
              <w:bidi/>
              <w:jc w:val="left"/>
            </w:pPr>
            <w:r>
              <w:rPr>
                <w:rtl/>
              </w:rPr>
              <w:t xml:space="preserve">50 دولاراً للبالغ</w:t>
            </w:r>
          </w:p>
        </w:tc>
        <w:tc>
          <w:tcPr/>
          <w:p>
            <w:pPr>
              <w:pStyle w:val="Compact"/>
              <w:bidi/>
              <w:jc w:val="left"/>
            </w:pPr>
            <w:r>
              <w:rPr>
                <w:rtl/>
              </w:rPr>
              <w:t xml:space="preserve">نحو 17.1 مليار دولار</w:t>
            </w:r>
          </w:p>
        </w:tc>
      </w:tr>
    </w:tbl>
    <w:p>
      <w:pPr>
        <w:pStyle w:val="BodyText"/>
        <w:bidi/>
      </w:pPr>
      <w:r>
        <w:rPr>
          <w:i/>
          <w:iCs/>
          <w:rtl/>
        </w:rPr>
        <w:t xml:space="preserve">(عدد الأسر × المبلغ الشهري × 12. بالدولار الثابت، ودون كلفة الإدارة التي تتراوح عادة بين 5% و10% من المبالغ المحولة.)</w:t>
      </w:r>
    </w:p>
    <w:p>
      <w:pPr>
        <w:pStyle w:val="BodyText"/>
        <w:bidi/>
      </w:pPr>
      <w:r>
        <w:rPr>
          <w:b/>
          <w:bCs/>
          <w:rtl/>
        </w:rPr>
        <w:t xml:space="preserve">والتحويلات المستهدفة في خيارها المعتمد، عند التغطية الكاملة، تعادل أكثر من 40% من الإيرادات الذاتية المتوقعة للدولة في 2027.</w:t>
      </w:r>
      <w:r>
        <w:rPr>
          <w:rtl/>
        </w:rPr>
        <w:t xml:space="preserve"> </w:t>
      </w:r>
      <w:r>
        <w:rPr>
          <w:rtl/>
        </w:rPr>
        <w:t xml:space="preserve">لذلك تُبنى تدريجياً، وتعتمد في سنواتها الأولى على الشركاء الدوليين.</w:t>
      </w:r>
    </w:p>
    <w:bookmarkEnd w:id="32"/>
    <w:bookmarkStart w:id="33" w:name="Xeecc24e7d8a1424781abfc86a55d5c682452c0e"/>
    <w:p>
      <w:pPr>
        <w:pStyle w:val="Heading2"/>
        <w:bidi/>
      </w:pPr>
      <w:r>
        <w:rPr>
          <w:rtl/>
        </w:rPr>
        <w:t xml:space="preserve">الطبقة الثالثة: تجربة رائدة للدخل الأساسي الشامل</w:t>
      </w:r>
    </w:p>
    <w:p>
      <w:pPr>
        <w:pStyle w:val="Compact"/>
        <w:numPr>
          <w:ilvl w:val="0"/>
          <w:numId w:val="1003"/>
        </w:numPr>
        <w:bidi/>
      </w:pPr>
      <w:r>
        <w:rPr>
          <w:b/>
          <w:bCs/>
          <w:rtl/>
        </w:rPr>
        <w:t xml:space="preserve">الحجم:</w:t>
      </w:r>
      <w:r>
        <w:rPr>
          <w:rtl/>
        </w:rPr>
        <w:t xml:space="preserve"> </w:t>
      </w:r>
      <w:r>
        <w:rPr>
          <w:rtl/>
        </w:rPr>
        <w:t xml:space="preserve">عشرة آلاف أسرة لمدة سنتين، في محليتين مختلفتين (حضرية وريفية)، بمبلغ 50 دولاراً شهرياً لكل بالغ في الأسرة، أي نحو 150 دولاراً للأسرة المتوسطة.</w:t>
      </w:r>
    </w:p>
    <w:p>
      <w:pPr>
        <w:pStyle w:val="Compact"/>
        <w:numPr>
          <w:ilvl w:val="0"/>
          <w:numId w:val="1003"/>
        </w:numPr>
        <w:bidi/>
      </w:pPr>
      <w:r>
        <w:rPr>
          <w:b/>
          <w:bCs/>
          <w:rtl/>
        </w:rPr>
        <w:t xml:space="preserve">الكلفة:</w:t>
      </w:r>
      <w:r>
        <w:rPr>
          <w:rtl/>
        </w:rPr>
        <w:t xml:space="preserve"> </w:t>
      </w:r>
      <w:r>
        <w:rPr>
          <w:rtl/>
        </w:rPr>
        <w:t xml:space="preserve">نحو</w:t>
      </w:r>
      <w:r>
        <w:rPr>
          <w:rtl/>
        </w:rPr>
        <w:t xml:space="preserve"> </w:t>
      </w:r>
      <w:r>
        <w:rPr>
          <w:b/>
          <w:bCs/>
          <w:rtl/>
        </w:rPr>
        <w:t xml:space="preserve">36 مليون دولار</w:t>
      </w:r>
      <w:r>
        <w:rPr>
          <w:rtl/>
        </w:rPr>
        <w:t xml:space="preserve"> </w:t>
      </w:r>
      <w:r>
        <w:rPr>
          <w:rtl/>
        </w:rPr>
        <w:t xml:space="preserve">للتحويلات (نحو 150 دولاراً × 10,000 أسرة × 24 شهراً)، إضافة إلى كلفة التقييم.</w:t>
      </w:r>
    </w:p>
    <w:p>
      <w:pPr>
        <w:pStyle w:val="Compact"/>
        <w:numPr>
          <w:ilvl w:val="0"/>
          <w:numId w:val="1003"/>
        </w:numPr>
        <w:bidi/>
      </w:pPr>
      <w:r>
        <w:rPr>
          <w:b/>
          <w:bCs/>
          <w:rtl/>
        </w:rPr>
        <w:t xml:space="preserve">التصميم:</w:t>
      </w:r>
      <w:r>
        <w:rPr>
          <w:rtl/>
        </w:rPr>
        <w:t xml:space="preserve"> </w:t>
      </w:r>
      <w:r>
        <w:rPr>
          <w:rtl/>
        </w:rPr>
        <w:t xml:space="preserve">تجربة عشوائية محكمة، بمجموعة مقارنة تُختار بالقرعة، وقياس الأثر على العمل والإنتاجية والتعليم والصحة والتغذية والأسعار المحلية، بواسطة جهة بحثية مستقلة، مع نشر خطة التحليل مسبقاً.</w:t>
      </w:r>
    </w:p>
    <w:p>
      <w:pPr>
        <w:pStyle w:val="Compact"/>
        <w:numPr>
          <w:ilvl w:val="0"/>
          <w:numId w:val="1003"/>
        </w:numPr>
        <w:bidi/>
      </w:pPr>
      <w:r>
        <w:rPr>
          <w:b/>
          <w:bCs/>
          <w:rtl/>
        </w:rPr>
        <w:t xml:space="preserve">القرار:</w:t>
      </w:r>
      <w:r>
        <w:rPr>
          <w:rtl/>
        </w:rPr>
        <w:t xml:space="preserve"> </w:t>
      </w:r>
      <w:r>
        <w:rPr>
          <w:rtl/>
        </w:rPr>
        <w:t xml:space="preserve">يُتخذ قرار التوسع أو التعديل أو الإيقاف</w:t>
      </w:r>
      <w:r>
        <w:rPr>
          <w:rtl/>
        </w:rPr>
        <w:t xml:space="preserve"> </w:t>
      </w:r>
      <w:r>
        <w:rPr>
          <w:b/>
          <w:bCs/>
          <w:rtl/>
        </w:rPr>
        <w:t xml:space="preserve">على أساس النتائج المنشورة</w:t>
      </w:r>
      <w:r>
        <w:rPr>
          <w:rtl/>
        </w:rPr>
        <w:t xml:space="preserve">، ولا يُقدَّم نجاح التجربة وكأنه مضمون مسبقاً.</w:t>
      </w:r>
    </w:p>
    <w:p>
      <w:pPr>
        <w:bidi/>
      </w:pPr>
      <w:r>
        <w:rPr>
          <w:rtl/>
        </w:rPr>
        <w:br w:type="page"/>
      </w:r>
    </w:p>
    <w:bookmarkEnd w:id="33"/>
    <w:bookmarkEnd w:id="34"/>
    <w:bookmarkStart w:id="39" w:name="سابعا-التصميم-التنفيذي"/>
    <w:p>
      <w:pPr>
        <w:pStyle w:val="Heading1"/>
        <w:bidi/>
      </w:pPr>
      <w:r>
        <w:rPr>
          <w:rtl/>
        </w:rPr>
        <w:t xml:space="preserve">سابعاً: التصميم التنفيذي</w:t>
      </w:r>
    </w:p>
    <w:bookmarkStart w:id="35" w:name="مبدأ-الوصول-رقمي-أولا-وليس-رقميا-فقط"/>
    <w:p>
      <w:pPr>
        <w:pStyle w:val="Heading2"/>
        <w:bidi/>
      </w:pPr>
      <w:r>
        <w:rPr>
          <w:rtl/>
        </w:rPr>
        <w:t xml:space="preserve">مبدأ الوصول: رقمي أولاً، وليس رقمياً فقط</w:t>
      </w:r>
    </w:p>
    <w:p>
      <w:pPr>
        <w:pStyle w:val="FirstParagraph"/>
        <w:bidi/>
      </w:pPr>
      <w:r>
        <w:rPr>
          <w:b/>
          <w:bCs/>
          <w:rtl/>
        </w:rPr>
        <w:t xml:space="preserve">لا يجوز أن تتحول الهوية الرقمية إلى شرط للإقصاء من الحماية الاجتماعية.</w:t>
      </w:r>
      <w:r>
        <w:rPr>
          <w:rtl/>
        </w:rPr>
        <w:t xml:space="preserve"> </w:t>
      </w:r>
      <w:r>
        <w:rPr>
          <w:rtl/>
        </w:rPr>
        <w:t xml:space="preserve">ففي السودان بعد الحرب ملايين بلا وثائق، ونازحون وعائدون، وسكان في مناطق خارج سيطرة الدولة أو بلا شبكة اتصال، وأسر لا تملك هاتفاً. لذلك يقوم النظام على</w:t>
      </w:r>
      <w:r>
        <w:rPr>
          <w:rtl/>
        </w:rPr>
        <w:t xml:space="preserve"> </w:t>
      </w:r>
      <w:r>
        <w:rPr>
          <w:b/>
          <w:bCs/>
          <w:rtl/>
        </w:rPr>
        <w:t xml:space="preserve">مسارين متساويين في الحقوق</w:t>
      </w:r>
      <w:r>
        <w:rPr>
          <w:rtl/>
        </w:rPr>
        <w:t xml:space="preserve">:</w:t>
      </w:r>
    </w:p>
    <w:p>
      <w:pPr>
        <w:pStyle w:val="Compact"/>
        <w:numPr>
          <w:ilvl w:val="0"/>
          <w:numId w:val="1004"/>
        </w:numPr>
        <w:bidi/>
      </w:pPr>
      <w:r>
        <w:rPr>
          <w:b/>
          <w:bCs/>
          <w:rtl/>
        </w:rPr>
        <w:t xml:space="preserve">المسار الرقمي:</w:t>
      </w:r>
      <w:r>
        <w:rPr>
          <w:rtl/>
        </w:rPr>
        <w:t xml:space="preserve"> </w:t>
      </w:r>
      <w:r>
        <w:rPr>
          <w:rtl/>
        </w:rPr>
        <w:t xml:space="preserve">التسجيل بالهوية الرقمية، والدفع عبر المحافظ الإلكترونية والتطبيقات المصرفية.</w:t>
      </w:r>
    </w:p>
    <w:p>
      <w:pPr>
        <w:pStyle w:val="Compact"/>
        <w:numPr>
          <w:ilvl w:val="0"/>
          <w:numId w:val="1004"/>
        </w:numPr>
        <w:bidi/>
      </w:pPr>
      <w:r>
        <w:rPr>
          <w:b/>
          <w:bCs/>
          <w:rtl/>
        </w:rPr>
        <w:t xml:space="preserve">المسار الميداني:</w:t>
      </w:r>
      <w:r>
        <w:rPr>
          <w:rtl/>
        </w:rPr>
        <w:t xml:space="preserve"> </w:t>
      </w:r>
      <w:r>
        <w:rPr>
          <w:rtl/>
        </w:rPr>
        <w:t xml:space="preserve">فرق تسجيل متنقلة في المعسكرات والقرى، ووثائق مؤقتة، ونقاط صرف نقدي في الأرياف، والتحقق عبر لجان مجتمعية حيث لا تتوفر الوثائق.</w:t>
      </w:r>
    </w:p>
    <w:bookmarkEnd w:id="35"/>
    <w:bookmarkStart w:id="36" w:name="الدفع-للنساء"/>
    <w:p>
      <w:pPr>
        <w:pStyle w:val="Heading2"/>
        <w:bidi/>
      </w:pPr>
      <w:r>
        <w:rPr>
          <w:rtl/>
        </w:rPr>
        <w:t xml:space="preserve">الدفع للنساء</w:t>
      </w:r>
    </w:p>
    <w:p>
      <w:pPr>
        <w:pStyle w:val="FirstParagraph"/>
        <w:bidi/>
      </w:pPr>
      <w:r>
        <w:rPr>
          <w:b/>
          <w:bCs/>
          <w:rtl/>
        </w:rPr>
        <w:t xml:space="preserve">يمكن إعطاء الأفضلية للنساء في الأسرة في بعض البرامج</w:t>
      </w:r>
      <w:r>
        <w:rPr>
          <w:rtl/>
        </w:rPr>
        <w:t xml:space="preserve">، وفقاً لنتائج التقييم المحلي والأدلة المتاحة بشأن أنماط استخدام التحويلات. وتُراقب آثار ذلك على العلاقات داخل الأسرة، بما فيها خطر العنف.</w:t>
      </w:r>
    </w:p>
    <w:bookmarkEnd w:id="36"/>
    <w:bookmarkStart w:id="37" w:name="الحماية-من-الفساد-والتسرب"/>
    <w:p>
      <w:pPr>
        <w:pStyle w:val="Heading2"/>
        <w:bidi/>
      </w:pPr>
      <w:r>
        <w:rPr>
          <w:rtl/>
        </w:rPr>
        <w:t xml:space="preserve">الحماية من الفساد والتسرب</w:t>
      </w:r>
    </w:p>
    <w:p>
      <w:pPr>
        <w:pStyle w:val="FirstParagraph"/>
        <w:bidi/>
      </w:pPr>
      <w:r>
        <w:rPr>
          <w:b/>
          <w:bCs/>
          <w:rtl/>
        </w:rPr>
        <w:t xml:space="preserve">يمكن أن تكون التحويلات النقدية الرقمية أكثر قابلية للتتبع، وأقل تعرضاً لبعض أشكال التسرب</w:t>
      </w:r>
      <w:r>
        <w:rPr>
          <w:rtl/>
        </w:rPr>
        <w:t xml:space="preserve"> </w:t>
      </w:r>
      <w:r>
        <w:rPr>
          <w:rtl/>
        </w:rPr>
        <w:t xml:space="preserve">مقارنة بالتحويلات العينية أو بالتوزيع عبر الوسطاء،</w:t>
      </w:r>
      <w:r>
        <w:rPr>
          <w:rtl/>
        </w:rPr>
        <w:t xml:space="preserve"> </w:t>
      </w:r>
      <w:r>
        <w:rPr>
          <w:b/>
          <w:bCs/>
          <w:rtl/>
        </w:rPr>
        <w:t xml:space="preserve">إذا توفرت أنظمة دفع ورقابة فعالة.</w:t>
      </w:r>
      <w:r>
        <w:rPr>
          <w:rtl/>
        </w:rPr>
        <w:t xml:space="preserve"> </w:t>
      </w:r>
      <w:r>
        <w:rPr>
          <w:rtl/>
        </w:rPr>
        <w:t xml:space="preserve">لكن الدفع الرقمي لا يلغي الفساد، ولذلك:</w:t>
      </w:r>
    </w:p>
    <w:p>
      <w:pPr>
        <w:pStyle w:val="Compact"/>
        <w:numPr>
          <w:ilvl w:val="0"/>
          <w:numId w:val="1005"/>
        </w:numPr>
        <w:bidi/>
      </w:pPr>
      <w:r>
        <w:rPr>
          <w:rtl/>
        </w:rPr>
        <w:t xml:space="preserve">نشر أعداد المستفيدين والمبالغ المحولة في كل محلية شهرياً.</w:t>
      </w:r>
    </w:p>
    <w:p>
      <w:pPr>
        <w:pStyle w:val="Compact"/>
        <w:numPr>
          <w:ilvl w:val="0"/>
          <w:numId w:val="1005"/>
        </w:numPr>
        <w:bidi/>
      </w:pPr>
      <w:r>
        <w:rPr>
          <w:rtl/>
        </w:rPr>
        <w:t xml:space="preserve">آلية شكاوى مستقلة ومجانية، بخط هاتفي ورسائل نصية.</w:t>
      </w:r>
    </w:p>
    <w:p>
      <w:pPr>
        <w:pStyle w:val="Compact"/>
        <w:numPr>
          <w:ilvl w:val="0"/>
          <w:numId w:val="1005"/>
        </w:numPr>
        <w:bidi/>
      </w:pPr>
      <w:r>
        <w:rPr>
          <w:rtl/>
        </w:rPr>
        <w:t xml:space="preserve">تدقيق دوري من ديوان المراجعة العام، ومراجعة عشوائية ميدانية.</w:t>
      </w:r>
    </w:p>
    <w:p>
      <w:pPr>
        <w:pStyle w:val="Compact"/>
        <w:numPr>
          <w:ilvl w:val="0"/>
          <w:numId w:val="1005"/>
        </w:numPr>
        <w:bidi/>
      </w:pPr>
      <w:r>
        <w:rPr>
          <w:rtl/>
        </w:rPr>
        <w:t xml:space="preserve">منع أي جهة سياسية أو أمنية من التدخل في قوائم المستفيدين.</w:t>
      </w:r>
    </w:p>
    <w:bookmarkEnd w:id="37"/>
    <w:bookmarkStart w:id="38" w:name="مصفوفة-مخاطر-الاستهداف-والدفع"/>
    <w:p>
      <w:pPr>
        <w:pStyle w:val="Heading2"/>
        <w:bidi/>
      </w:pPr>
      <w:r>
        <w:rPr>
          <w:rtl/>
        </w:rPr>
        <w:t xml:space="preserve">مصفوفة مخاطر الاستهداف والدفع</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الخطر</w:t>
            </w:r>
          </w:p>
        </w:tc>
        <w:tc>
          <w:tcPr/>
          <w:p>
            <w:pPr>
              <w:pStyle w:val="Compact"/>
              <w:bidi/>
              <w:jc w:val="left"/>
            </w:pPr>
            <w:r>
              <w:rPr>
                <w:rtl/>
              </w:rPr>
              <w:t xml:space="preserve">مثاله</w:t>
            </w:r>
          </w:p>
        </w:tc>
        <w:tc>
          <w:tcPr/>
          <w:p>
            <w:pPr>
              <w:pStyle w:val="Compact"/>
              <w:bidi/>
              <w:jc w:val="left"/>
            </w:pPr>
            <w:r>
              <w:rPr>
                <w:rtl/>
              </w:rPr>
              <w:t xml:space="preserve">الاستجابة</w:t>
            </w:r>
          </w:p>
        </w:tc>
      </w:tr>
      <w:tr>
        <w:tc>
          <w:tcPr/>
          <w:p>
            <w:pPr>
              <w:pStyle w:val="Compact"/>
              <w:bidi/>
              <w:jc w:val="left"/>
            </w:pPr>
            <w:r>
              <w:rPr>
                <w:b/>
                <w:bCs/>
                <w:rtl/>
              </w:rPr>
              <w:t xml:space="preserve">أخطاء الإقصاء</w:t>
            </w:r>
          </w:p>
        </w:tc>
        <w:tc>
          <w:tcPr/>
          <w:p>
            <w:pPr>
              <w:pStyle w:val="Compact"/>
              <w:bidi/>
              <w:jc w:val="left"/>
            </w:pPr>
            <w:r>
              <w:rPr>
                <w:rtl/>
              </w:rPr>
              <w:t xml:space="preserve">أسر مستحقة لا تُسجَّل</w:t>
            </w:r>
          </w:p>
        </w:tc>
        <w:tc>
          <w:tcPr/>
          <w:p>
            <w:pPr>
              <w:pStyle w:val="Compact"/>
              <w:bidi/>
              <w:jc w:val="left"/>
            </w:pPr>
            <w:r>
              <w:rPr>
                <w:rtl/>
              </w:rPr>
              <w:t xml:space="preserve">المسار الميداني؛ حملات تسجيل؛ آلية اعتراض</w:t>
            </w:r>
          </w:p>
        </w:tc>
      </w:tr>
      <w:tr>
        <w:tc>
          <w:tcPr/>
          <w:p>
            <w:pPr>
              <w:pStyle w:val="Compact"/>
              <w:bidi/>
              <w:jc w:val="left"/>
            </w:pPr>
            <w:r>
              <w:rPr>
                <w:b/>
                <w:bCs/>
                <w:rtl/>
              </w:rPr>
              <w:t xml:space="preserve">أخطاء الإدراج</w:t>
            </w:r>
          </w:p>
        </w:tc>
        <w:tc>
          <w:tcPr/>
          <w:p>
            <w:pPr>
              <w:pStyle w:val="Compact"/>
              <w:bidi/>
              <w:jc w:val="left"/>
            </w:pPr>
            <w:r>
              <w:rPr>
                <w:rtl/>
              </w:rPr>
              <w:t xml:space="preserve">أسر غير مستحقة تُسجَّل</w:t>
            </w:r>
          </w:p>
        </w:tc>
        <w:tc>
          <w:tcPr/>
          <w:p>
            <w:pPr>
              <w:pStyle w:val="Compact"/>
              <w:bidi/>
              <w:jc w:val="left"/>
            </w:pPr>
            <w:r>
              <w:rPr>
                <w:rtl/>
              </w:rPr>
              <w:t xml:space="preserve">التحقق المجتمعي؛ المراجعة العشوائية</w:t>
            </w:r>
          </w:p>
        </w:tc>
      </w:tr>
      <w:tr>
        <w:tc>
          <w:tcPr/>
          <w:p>
            <w:pPr>
              <w:pStyle w:val="Compact"/>
              <w:bidi/>
              <w:jc w:val="left"/>
            </w:pPr>
            <w:r>
              <w:rPr>
                <w:b/>
                <w:bCs/>
                <w:rtl/>
              </w:rPr>
              <w:t xml:space="preserve">التسجيل الوهمي</w:t>
            </w:r>
          </w:p>
        </w:tc>
        <w:tc>
          <w:tcPr/>
          <w:p>
            <w:pPr>
              <w:pStyle w:val="Compact"/>
              <w:bidi/>
              <w:jc w:val="left"/>
            </w:pPr>
            <w:r>
              <w:rPr>
                <w:rtl/>
              </w:rPr>
              <w:t xml:space="preserve">أسماء غير حقيقية في القوائم</w:t>
            </w:r>
          </w:p>
        </w:tc>
        <w:tc>
          <w:tcPr/>
          <w:p>
            <w:pPr>
              <w:pStyle w:val="Compact"/>
              <w:bidi/>
              <w:jc w:val="left"/>
            </w:pPr>
            <w:r>
              <w:rPr>
                <w:rtl/>
              </w:rPr>
              <w:t xml:space="preserve">مطابقة الهوية؛ التدقيق الميداني</w:t>
            </w:r>
          </w:p>
        </w:tc>
      </w:tr>
      <w:tr>
        <w:tc>
          <w:tcPr/>
          <w:p>
            <w:pPr>
              <w:pStyle w:val="Compact"/>
              <w:bidi/>
              <w:jc w:val="left"/>
            </w:pPr>
            <w:r>
              <w:rPr>
                <w:b/>
                <w:bCs/>
                <w:rtl/>
              </w:rPr>
              <w:t xml:space="preserve">سرقة الهوية أو الهاتف</w:t>
            </w:r>
          </w:p>
        </w:tc>
        <w:tc>
          <w:tcPr/>
          <w:p>
            <w:pPr>
              <w:pStyle w:val="Compact"/>
              <w:bidi/>
              <w:jc w:val="left"/>
            </w:pPr>
            <w:r>
              <w:rPr>
                <w:rtl/>
              </w:rPr>
              <w:t xml:space="preserve">الاستيلاء على التحويلات</w:t>
            </w:r>
          </w:p>
        </w:tc>
        <w:tc>
          <w:tcPr/>
          <w:p>
            <w:pPr>
              <w:pStyle w:val="Compact"/>
              <w:bidi/>
              <w:jc w:val="left"/>
            </w:pPr>
            <w:r>
              <w:rPr>
                <w:rtl/>
              </w:rPr>
              <w:t xml:space="preserve">رموز تحقق؛ إمكانية تجميد الحساب؛ صرف بحضور المستفيد</w:t>
            </w:r>
          </w:p>
        </w:tc>
      </w:tr>
      <w:tr>
        <w:tc>
          <w:tcPr/>
          <w:p>
            <w:pPr>
              <w:pStyle w:val="Compact"/>
              <w:bidi/>
              <w:jc w:val="left"/>
            </w:pPr>
            <w:r>
              <w:rPr>
                <w:b/>
                <w:bCs/>
                <w:rtl/>
              </w:rPr>
              <w:t xml:space="preserve">الابتزاز والرسوم غير القانونية</w:t>
            </w:r>
          </w:p>
        </w:tc>
        <w:tc>
          <w:tcPr/>
          <w:p>
            <w:pPr>
              <w:pStyle w:val="Compact"/>
              <w:bidi/>
              <w:jc w:val="left"/>
            </w:pPr>
            <w:r>
              <w:rPr>
                <w:rtl/>
              </w:rPr>
              <w:t xml:space="preserve">اقتطاع جزء من المبلغ عند الصرف</w:t>
            </w:r>
          </w:p>
        </w:tc>
        <w:tc>
          <w:tcPr/>
          <w:p>
            <w:pPr>
              <w:pStyle w:val="Compact"/>
              <w:bidi/>
              <w:jc w:val="left"/>
            </w:pPr>
            <w:r>
              <w:rPr>
                <w:rtl/>
              </w:rPr>
              <w:t xml:space="preserve">خط شكاوى؛ عقوبات على وكلاء الدفع</w:t>
            </w:r>
          </w:p>
        </w:tc>
      </w:tr>
      <w:tr>
        <w:tc>
          <w:tcPr/>
          <w:p>
            <w:pPr>
              <w:pStyle w:val="Compact"/>
              <w:bidi/>
              <w:jc w:val="left"/>
            </w:pPr>
            <w:r>
              <w:rPr>
                <w:b/>
                <w:bCs/>
                <w:rtl/>
              </w:rPr>
              <w:t xml:space="preserve">التلاعب السياسي بالقوائم</w:t>
            </w:r>
          </w:p>
        </w:tc>
        <w:tc>
          <w:tcPr/>
          <w:p>
            <w:pPr>
              <w:pStyle w:val="Compact"/>
              <w:bidi/>
              <w:jc w:val="left"/>
            </w:pPr>
            <w:r>
              <w:rPr>
                <w:rtl/>
              </w:rPr>
              <w:t xml:space="preserve">إضافة أو حذف أسماء لأسباب سياسية</w:t>
            </w:r>
          </w:p>
        </w:tc>
        <w:tc>
          <w:tcPr/>
          <w:p>
            <w:pPr>
              <w:pStyle w:val="Compact"/>
              <w:bidi/>
              <w:jc w:val="left"/>
            </w:pPr>
            <w:r>
              <w:rPr>
                <w:rtl/>
              </w:rPr>
              <w:t xml:space="preserve">استقلال وحدة التنفيذ؛ النشر العلني</w:t>
            </w:r>
          </w:p>
        </w:tc>
      </w:tr>
      <w:tr>
        <w:tc>
          <w:tcPr/>
          <w:p>
            <w:pPr>
              <w:pStyle w:val="Compact"/>
              <w:bidi/>
              <w:jc w:val="left"/>
            </w:pPr>
            <w:r>
              <w:rPr>
                <w:b/>
                <w:bCs/>
                <w:rtl/>
              </w:rPr>
              <w:t xml:space="preserve">التضخم المحلي</w:t>
            </w:r>
          </w:p>
        </w:tc>
        <w:tc>
          <w:tcPr/>
          <w:p>
            <w:pPr>
              <w:pStyle w:val="Compact"/>
              <w:bidi/>
              <w:jc w:val="left"/>
            </w:pPr>
            <w:r>
              <w:rPr>
                <w:rtl/>
              </w:rPr>
              <w:t xml:space="preserve">ارتفاع الأسعار في أسواق صغيرة</w:t>
            </w:r>
          </w:p>
        </w:tc>
        <w:tc>
          <w:tcPr/>
          <w:p>
            <w:pPr>
              <w:pStyle w:val="Compact"/>
              <w:bidi/>
              <w:jc w:val="left"/>
            </w:pPr>
            <w:r>
              <w:rPr>
                <w:rtl/>
              </w:rPr>
              <w:t xml:space="preserve">تدرج التوسع؛ مراقبة الأسعار؛ دعم العرض الزراعي</w:t>
            </w:r>
          </w:p>
        </w:tc>
      </w:tr>
    </w:tbl>
    <w:p>
      <w:pPr>
        <w:pStyle w:val="BodyText"/>
        <w:bidi/>
      </w:pPr>
      <w:r>
        <w:rPr>
          <w:b/>
          <w:bCs/>
          <w:rtl/>
        </w:rPr>
        <w:t xml:space="preserve">الجهة المسؤولة:</w:t>
      </w:r>
      <w:r>
        <w:rPr>
          <w:rtl/>
        </w:rPr>
        <w:t xml:space="preserve"> </w:t>
      </w:r>
      <w:r>
        <w:rPr>
          <w:rtl/>
        </w:rPr>
        <w:t xml:space="preserve">وزارة الصحة والتنمية الاجتماعية عبر وكالة الحماية الاجتماعية، بالتنسيق مع وزارة المالية والبنك المركزي، مع وحدة تنفيذ مستقلة للتجربة الرائدة.</w:t>
      </w:r>
    </w:p>
    <w:p>
      <w:pPr>
        <w:bidi/>
      </w:pPr>
      <w:r>
        <w:rPr>
          <w:rtl/>
        </w:rPr>
        <w:br w:type="page"/>
      </w:r>
    </w:p>
    <w:bookmarkEnd w:id="38"/>
    <w:bookmarkEnd w:id="39"/>
    <w:bookmarkStart w:id="42" w:name="ثامنا-نموذج-التمويل-متعدد-السنوات"/>
    <w:p>
      <w:pPr>
        <w:pStyle w:val="Heading1"/>
        <w:bidi/>
      </w:pPr>
      <w:r>
        <w:rPr>
          <w:rtl/>
        </w:rPr>
        <w:t xml:space="preserve">ثامناً: نموذج التمويل متعدد السنوات</w:t>
      </w:r>
    </w:p>
    <w:bookmarkStart w:id="40" w:name="مسار-التغطية-والكلفة"/>
    <w:p>
      <w:pPr>
        <w:pStyle w:val="Heading2"/>
        <w:bidi/>
      </w:pPr>
      <w:r>
        <w:rPr>
          <w:rtl/>
        </w:rPr>
        <w:t xml:space="preserve">مسار التغطية والكلفة</w:t>
      </w:r>
    </w:p>
    <w:p>
      <w:pPr>
        <w:pStyle w:val="FirstParagraph"/>
        <w:bidi/>
      </w:pPr>
      <w:r>
        <w:rPr>
          <w:i/>
          <w:iCs/>
          <w:rtl/>
        </w:rPr>
        <w:t xml:space="preserve">(الخيار المعتمد: 100 دولار شهرياً لكل أسرة في الخُمس الأفقر، ونحو 1.85 مليون أسرة مستحقة. الأرقام بالمليار دولار الثابت، ودون كلفة الإدارة.)</w:t>
      </w:r>
    </w:p>
    <w:tbl>
      <w:tblPr>
        <w:tblStyle w:val="Table"/>
        <w:bidiVisual/>
        <w:tblW w:w="5000" w:type="pct"/>
        <w:jc w:val="start"/>
        <w:tblLook w:val="04A0" w:firstRow="1" w:lastRow="0" w:firstColumn="0" w:lastColumn="0" w:noHBand="0" w:noVBand="1"/>
      </w:tblPr>
      <w:tblGrid>
        <w:gridCol w:w="1980"/>
        <w:gridCol w:w="1980"/>
        <w:gridCol w:w="1980"/>
        <w:gridCol w:w="1980"/>
      </w:tblGrid>
      <w:tr>
        <w:trPr>
          <w:tblHeader w:val="true"/>
        </w:trPr>
        <w:tc>
          <w:tcPr/>
          <w:p>
            <w:pPr>
              <w:pStyle w:val="Compact"/>
              <w:bidi/>
              <w:jc w:val="left"/>
            </w:pPr>
            <w:r>
              <w:rPr>
                <w:rtl/>
              </w:rPr>
              <w:t xml:space="preserve">السنة</w:t>
            </w:r>
          </w:p>
        </w:tc>
        <w:tc>
          <w:tcPr/>
          <w:p>
            <w:pPr>
              <w:pStyle w:val="Compact"/>
              <w:bidi/>
              <w:jc w:val="left"/>
            </w:pPr>
            <w:r>
              <w:rPr>
                <w:rtl/>
              </w:rPr>
              <w:t xml:space="preserve">التغطية من الأسر المستحقة</w:t>
            </w:r>
          </w:p>
        </w:tc>
        <w:tc>
          <w:tcPr/>
          <w:p>
            <w:pPr>
              <w:pStyle w:val="Compact"/>
              <w:bidi/>
              <w:jc w:val="left"/>
            </w:pPr>
            <w:r>
              <w:rPr>
                <w:rtl/>
              </w:rPr>
              <w:t xml:space="preserve">عدد الأسر (مليون تقريباً)</w:t>
            </w:r>
          </w:p>
        </w:tc>
        <w:tc>
          <w:tcPr/>
          <w:p>
            <w:pPr>
              <w:pStyle w:val="Compact"/>
              <w:bidi/>
              <w:jc w:val="left"/>
            </w:pPr>
            <w:r>
              <w:rPr>
                <w:rtl/>
              </w:rPr>
              <w:t xml:space="preserve">الكلفة السنوية</w:t>
            </w:r>
          </w:p>
        </w:tc>
      </w:tr>
      <w:tr>
        <w:tc>
          <w:tcPr/>
          <w:p>
            <w:pPr>
              <w:pStyle w:val="Compact"/>
              <w:bidi/>
              <w:jc w:val="left"/>
            </w:pPr>
            <w:r>
              <w:rPr>
                <w:rtl/>
              </w:rPr>
              <w:t xml:space="preserve">2027</w:t>
            </w:r>
          </w:p>
        </w:tc>
        <w:tc>
          <w:tcPr/>
          <w:p>
            <w:pPr>
              <w:pStyle w:val="Compact"/>
              <w:bidi/>
              <w:jc w:val="left"/>
            </w:pPr>
            <w:r>
              <w:rPr>
                <w:rtl/>
              </w:rPr>
              <w:t xml:space="preserve">15%</w:t>
            </w:r>
          </w:p>
        </w:tc>
        <w:tc>
          <w:tcPr/>
          <w:p>
            <w:pPr>
              <w:pStyle w:val="Compact"/>
              <w:bidi/>
              <w:jc w:val="left"/>
            </w:pPr>
            <w:r>
              <w:rPr>
                <w:rtl/>
              </w:rPr>
              <w:t xml:space="preserve">0.24</w:t>
            </w:r>
          </w:p>
        </w:tc>
        <w:tc>
          <w:tcPr/>
          <w:p>
            <w:pPr>
              <w:pStyle w:val="Compact"/>
              <w:bidi/>
              <w:jc w:val="left"/>
            </w:pPr>
            <w:r>
              <w:rPr>
                <w:rtl/>
              </w:rPr>
              <w:t xml:space="preserve">0.29</w:t>
            </w:r>
          </w:p>
        </w:tc>
      </w:tr>
      <w:tr>
        <w:tc>
          <w:tcPr/>
          <w:p>
            <w:pPr>
              <w:pStyle w:val="Compact"/>
              <w:bidi/>
              <w:jc w:val="left"/>
            </w:pPr>
            <w:r>
              <w:rPr>
                <w:rtl/>
              </w:rPr>
              <w:t xml:space="preserve">2029 (نهاية الانتقال تقريباً)</w:t>
            </w:r>
          </w:p>
        </w:tc>
        <w:tc>
          <w:tcPr/>
          <w:p>
            <w:pPr>
              <w:pStyle w:val="Compact"/>
              <w:bidi/>
              <w:jc w:val="left"/>
            </w:pPr>
            <w:r>
              <w:rPr>
                <w:rtl/>
              </w:rPr>
              <w:t xml:space="preserve">40%</w:t>
            </w:r>
          </w:p>
        </w:tc>
        <w:tc>
          <w:tcPr/>
          <w:p>
            <w:pPr>
              <w:pStyle w:val="Compact"/>
              <w:bidi/>
              <w:jc w:val="left"/>
            </w:pPr>
            <w:r>
              <w:rPr>
                <w:rtl/>
              </w:rPr>
              <w:t xml:space="preserve">0.64</w:t>
            </w:r>
          </w:p>
        </w:tc>
        <w:tc>
          <w:tcPr/>
          <w:p>
            <w:pPr>
              <w:pStyle w:val="Compact"/>
              <w:bidi/>
              <w:jc w:val="left"/>
            </w:pPr>
            <w:r>
              <w:rPr>
                <w:rtl/>
              </w:rPr>
              <w:t xml:space="preserve">0.77</w:t>
            </w:r>
          </w:p>
        </w:tc>
      </w:tr>
      <w:tr>
        <w:tc>
          <w:tcPr/>
          <w:p>
            <w:pPr>
              <w:pStyle w:val="Compact"/>
              <w:bidi/>
              <w:jc w:val="left"/>
            </w:pPr>
            <w:r>
              <w:rPr>
                <w:rtl/>
              </w:rPr>
              <w:t xml:space="preserve">2031</w:t>
            </w:r>
          </w:p>
        </w:tc>
        <w:tc>
          <w:tcPr/>
          <w:p>
            <w:pPr>
              <w:pStyle w:val="Compact"/>
              <w:bidi/>
              <w:jc w:val="left"/>
            </w:pPr>
            <w:r>
              <w:rPr>
                <w:rtl/>
              </w:rPr>
              <w:t xml:space="preserve">70%</w:t>
            </w:r>
          </w:p>
        </w:tc>
        <w:tc>
          <w:tcPr/>
          <w:p>
            <w:pPr>
              <w:pStyle w:val="Compact"/>
              <w:bidi/>
              <w:jc w:val="left"/>
            </w:pPr>
            <w:r>
              <w:rPr>
                <w:rtl/>
              </w:rPr>
              <w:t xml:space="preserve">1.11</w:t>
            </w:r>
          </w:p>
        </w:tc>
        <w:tc>
          <w:tcPr/>
          <w:p>
            <w:pPr>
              <w:pStyle w:val="Compact"/>
              <w:bidi/>
              <w:jc w:val="left"/>
            </w:pPr>
            <w:r>
              <w:rPr>
                <w:rtl/>
              </w:rPr>
              <w:t xml:space="preserve">1.34</w:t>
            </w:r>
          </w:p>
        </w:tc>
      </w:tr>
      <w:tr>
        <w:tc>
          <w:tcPr/>
          <w:p>
            <w:pPr>
              <w:pStyle w:val="Compact"/>
              <w:bidi/>
              <w:jc w:val="left"/>
            </w:pPr>
            <w:r>
              <w:rPr>
                <w:rtl/>
              </w:rPr>
              <w:t xml:space="preserve">2034</w:t>
            </w:r>
          </w:p>
        </w:tc>
        <w:tc>
          <w:tcPr/>
          <w:p>
            <w:pPr>
              <w:pStyle w:val="Compact"/>
              <w:bidi/>
              <w:jc w:val="left"/>
            </w:pPr>
            <w:r>
              <w:rPr>
                <w:rtl/>
              </w:rPr>
              <w:t xml:space="preserve">90%</w:t>
            </w:r>
          </w:p>
        </w:tc>
        <w:tc>
          <w:tcPr/>
          <w:p>
            <w:pPr>
              <w:pStyle w:val="Compact"/>
              <w:bidi/>
              <w:jc w:val="left"/>
            </w:pPr>
            <w:r>
              <w:rPr>
                <w:rtl/>
              </w:rPr>
              <w:t xml:space="preserve">1.43</w:t>
            </w:r>
          </w:p>
        </w:tc>
        <w:tc>
          <w:tcPr/>
          <w:p>
            <w:pPr>
              <w:pStyle w:val="Compact"/>
              <w:bidi/>
              <w:jc w:val="left"/>
            </w:pPr>
            <w:r>
              <w:rPr>
                <w:rtl/>
              </w:rPr>
              <w:t xml:space="preserve">1.72</w:t>
            </w:r>
          </w:p>
        </w:tc>
      </w:tr>
    </w:tbl>
    <w:bookmarkEnd w:id="40"/>
    <w:bookmarkStart w:id="41" w:name="مصادر-التمويل-تقديرات-للتخطيط"/>
    <w:p>
      <w:pPr>
        <w:pStyle w:val="Heading2"/>
        <w:bidi/>
      </w:pPr>
      <w:r>
        <w:rPr>
          <w:rtl/>
        </w:rPr>
        <w:t xml:space="preserve">مصادر التمويل (تقديرات للتخطيط)</w:t>
      </w:r>
    </w:p>
    <w:tbl>
      <w:tblPr>
        <w:tblStyle w:val="Table"/>
        <w:bidiVisual/>
        <w:tblW w:w="5000" w:type="pct"/>
        <w:jc w:val="start"/>
        <w:tblLook w:val="04A0" w:firstRow="1" w:lastRow="0" w:firstColumn="0" w:lastColumn="0" w:noHBand="0" w:noVBand="1"/>
      </w:tblPr>
      <w:tblGrid>
        <w:gridCol w:w="1584"/>
        <w:gridCol w:w="1584"/>
        <w:gridCol w:w="1584"/>
        <w:gridCol w:w="1584"/>
        <w:gridCol w:w="1584"/>
      </w:tblGrid>
      <w:tr>
        <w:trPr>
          <w:tblHeader w:val="true"/>
        </w:trPr>
        <w:tc>
          <w:tcPr/>
          <w:p>
            <w:pPr>
              <w:pStyle w:val="Compact"/>
              <w:bidi/>
              <w:jc w:val="left"/>
            </w:pPr>
            <w:r>
              <w:rPr>
                <w:rtl/>
              </w:rPr>
              <w:t xml:space="preserve">المصدر</w:t>
            </w:r>
          </w:p>
        </w:tc>
        <w:tc>
          <w:tcPr/>
          <w:p>
            <w:pPr>
              <w:pStyle w:val="Compact"/>
              <w:bidi/>
              <w:jc w:val="left"/>
            </w:pPr>
            <w:r>
              <w:rPr>
                <w:rtl/>
              </w:rPr>
              <w:t xml:space="preserve">2027</w:t>
            </w:r>
          </w:p>
        </w:tc>
        <w:tc>
          <w:tcPr/>
          <w:p>
            <w:pPr>
              <w:pStyle w:val="Compact"/>
              <w:bidi/>
              <w:jc w:val="left"/>
            </w:pPr>
            <w:r>
              <w:rPr>
                <w:rtl/>
              </w:rPr>
              <w:t xml:space="preserve">2029</w:t>
            </w:r>
          </w:p>
        </w:tc>
        <w:tc>
          <w:tcPr/>
          <w:p>
            <w:pPr>
              <w:pStyle w:val="Compact"/>
              <w:bidi/>
              <w:jc w:val="left"/>
            </w:pPr>
            <w:r>
              <w:rPr>
                <w:rtl/>
              </w:rPr>
              <w:t xml:space="preserve">2031</w:t>
            </w:r>
          </w:p>
        </w:tc>
        <w:tc>
          <w:tcPr/>
          <w:p>
            <w:pPr>
              <w:pStyle w:val="Compact"/>
              <w:bidi/>
              <w:jc w:val="left"/>
            </w:pPr>
            <w:r>
              <w:rPr>
                <w:rtl/>
              </w:rPr>
              <w:t xml:space="preserve">2034</w:t>
            </w:r>
          </w:p>
        </w:tc>
      </w:tr>
      <w:tr>
        <w:tc>
          <w:tcPr/>
          <w:p>
            <w:pPr>
              <w:pStyle w:val="Compact"/>
              <w:bidi/>
              <w:jc w:val="left"/>
            </w:pPr>
            <w:r>
              <w:rPr>
                <w:rtl/>
              </w:rPr>
              <w:t xml:space="preserve">الشركاء الدوليون</w:t>
            </w:r>
          </w:p>
        </w:tc>
        <w:tc>
          <w:tcPr/>
          <w:p>
            <w:pPr>
              <w:pStyle w:val="Compact"/>
              <w:bidi/>
              <w:jc w:val="left"/>
            </w:pPr>
            <w:r>
              <w:rPr>
                <w:rtl/>
              </w:rPr>
              <w:t xml:space="preserve">0.26</w:t>
            </w:r>
          </w:p>
        </w:tc>
        <w:tc>
          <w:tcPr/>
          <w:p>
            <w:pPr>
              <w:pStyle w:val="Compact"/>
              <w:bidi/>
              <w:jc w:val="left"/>
            </w:pPr>
            <w:r>
              <w:rPr>
                <w:rtl/>
              </w:rPr>
              <w:t xml:space="preserve">0.54</w:t>
            </w:r>
          </w:p>
        </w:tc>
        <w:tc>
          <w:tcPr/>
          <w:p>
            <w:pPr>
              <w:pStyle w:val="Compact"/>
              <w:bidi/>
              <w:jc w:val="left"/>
            </w:pPr>
            <w:r>
              <w:rPr>
                <w:rtl/>
              </w:rPr>
              <w:t xml:space="preserve">0.54</w:t>
            </w:r>
          </w:p>
        </w:tc>
        <w:tc>
          <w:tcPr/>
          <w:p>
            <w:pPr>
              <w:pStyle w:val="Compact"/>
              <w:bidi/>
              <w:jc w:val="left"/>
            </w:pPr>
            <w:r>
              <w:rPr>
                <w:rtl/>
              </w:rPr>
              <w:t xml:space="preserve">0.26</w:t>
            </w:r>
          </w:p>
        </w:tc>
      </w:tr>
      <w:tr>
        <w:tc>
          <w:tcPr/>
          <w:p>
            <w:pPr>
              <w:pStyle w:val="Compact"/>
              <w:bidi/>
              <w:jc w:val="left"/>
            </w:pPr>
            <w:r>
              <w:rPr>
                <w:rtl/>
              </w:rPr>
              <w:t xml:space="preserve">الموازنة العامة</w:t>
            </w:r>
          </w:p>
        </w:tc>
        <w:tc>
          <w:tcPr/>
          <w:p>
            <w:pPr>
              <w:pStyle w:val="Compact"/>
              <w:bidi/>
              <w:jc w:val="left"/>
            </w:pPr>
            <w:r>
              <w:rPr>
                <w:rtl/>
              </w:rPr>
              <w:t xml:space="preserve">0.02</w:t>
            </w:r>
          </w:p>
        </w:tc>
        <w:tc>
          <w:tcPr/>
          <w:p>
            <w:pPr>
              <w:pStyle w:val="Compact"/>
              <w:bidi/>
              <w:jc w:val="left"/>
            </w:pPr>
            <w:r>
              <w:rPr>
                <w:rtl/>
              </w:rPr>
              <w:t xml:space="preserve">0.08</w:t>
            </w:r>
          </w:p>
        </w:tc>
        <w:tc>
          <w:tcPr/>
          <w:p>
            <w:pPr>
              <w:pStyle w:val="Compact"/>
              <w:bidi/>
              <w:jc w:val="left"/>
            </w:pPr>
            <w:r>
              <w:rPr>
                <w:rtl/>
              </w:rPr>
              <w:t xml:space="preserve">0.30</w:t>
            </w:r>
          </w:p>
        </w:tc>
        <w:tc>
          <w:tcPr/>
          <w:p>
            <w:pPr>
              <w:pStyle w:val="Compact"/>
              <w:bidi/>
              <w:jc w:val="left"/>
            </w:pPr>
            <w:r>
              <w:rPr>
                <w:rtl/>
              </w:rPr>
              <w:t xml:space="preserve">0.60</w:t>
            </w:r>
          </w:p>
        </w:tc>
      </w:tr>
      <w:tr>
        <w:tc>
          <w:tcPr/>
          <w:p>
            <w:pPr>
              <w:pStyle w:val="Compact"/>
              <w:bidi/>
              <w:jc w:val="left"/>
            </w:pPr>
            <w:r>
              <w:rPr>
                <w:rtl/>
              </w:rPr>
              <w:t xml:space="preserve">الوفر من إصلاح الدعم</w:t>
            </w:r>
          </w:p>
        </w:tc>
        <w:tc>
          <w:tcPr/>
          <w:p>
            <w:pPr>
              <w:pStyle w:val="Compact"/>
              <w:bidi/>
              <w:jc w:val="left"/>
            </w:pPr>
            <w:r>
              <w:rPr>
                <w:rtl/>
              </w:rPr>
              <w:t xml:space="preserve">—</w:t>
            </w:r>
          </w:p>
        </w:tc>
        <w:tc>
          <w:tcPr/>
          <w:p>
            <w:pPr>
              <w:pStyle w:val="Compact"/>
              <w:bidi/>
              <w:jc w:val="left"/>
            </w:pPr>
            <w:r>
              <w:rPr>
                <w:rtl/>
              </w:rPr>
              <w:t xml:space="preserve">0.07</w:t>
            </w:r>
          </w:p>
        </w:tc>
        <w:tc>
          <w:tcPr/>
          <w:p>
            <w:pPr>
              <w:pStyle w:val="Compact"/>
              <w:bidi/>
              <w:jc w:val="left"/>
            </w:pPr>
            <w:r>
              <w:rPr>
                <w:rtl/>
              </w:rPr>
              <w:t xml:space="preserve">0.25</w:t>
            </w:r>
          </w:p>
        </w:tc>
        <w:tc>
          <w:tcPr/>
          <w:p>
            <w:pPr>
              <w:pStyle w:val="Compact"/>
              <w:bidi/>
              <w:jc w:val="left"/>
            </w:pPr>
            <w:r>
              <w:rPr>
                <w:rtl/>
              </w:rPr>
              <w:t xml:space="preserve">0.40</w:t>
            </w:r>
          </w:p>
        </w:tc>
      </w:tr>
      <w:tr>
        <w:tc>
          <w:tcPr/>
          <w:p>
            <w:pPr>
              <w:pStyle w:val="Compact"/>
              <w:bidi/>
              <w:jc w:val="left"/>
            </w:pPr>
            <w:r>
              <w:rPr>
                <w:rtl/>
              </w:rPr>
              <w:t xml:space="preserve">نصيب من عائدات الموارد الطبيعية</w:t>
            </w:r>
          </w:p>
        </w:tc>
        <w:tc>
          <w:tcPr/>
          <w:p>
            <w:pPr>
              <w:pStyle w:val="Compact"/>
              <w:bidi/>
              <w:jc w:val="left"/>
            </w:pPr>
            <w:r>
              <w:rPr>
                <w:rtl/>
              </w:rPr>
              <w:t xml:space="preserve">—</w:t>
            </w:r>
          </w:p>
        </w:tc>
        <w:tc>
          <w:tcPr/>
          <w:p>
            <w:pPr>
              <w:pStyle w:val="Compact"/>
              <w:bidi/>
              <w:jc w:val="left"/>
            </w:pPr>
            <w:r>
              <w:rPr>
                <w:rtl/>
              </w:rPr>
              <w:t xml:space="preserve">0.05</w:t>
            </w:r>
          </w:p>
        </w:tc>
        <w:tc>
          <w:tcPr/>
          <w:p>
            <w:pPr>
              <w:pStyle w:val="Compact"/>
              <w:bidi/>
              <w:jc w:val="left"/>
            </w:pPr>
            <w:r>
              <w:rPr>
                <w:rtl/>
              </w:rPr>
              <w:t xml:space="preserve">0.15</w:t>
            </w:r>
          </w:p>
        </w:tc>
        <w:tc>
          <w:tcPr/>
          <w:p>
            <w:pPr>
              <w:pStyle w:val="Compact"/>
              <w:bidi/>
              <w:jc w:val="left"/>
            </w:pPr>
            <w:r>
              <w:rPr>
                <w:rtl/>
              </w:rPr>
              <w:t xml:space="preserve">0.30</w:t>
            </w:r>
          </w:p>
        </w:tc>
      </w:tr>
      <w:tr>
        <w:tc>
          <w:tcPr/>
          <w:p>
            <w:pPr>
              <w:pStyle w:val="Compact"/>
              <w:bidi/>
              <w:jc w:val="left"/>
            </w:pPr>
            <w:r>
              <w:rPr>
                <w:rtl/>
              </w:rPr>
              <w:t xml:space="preserve">الزكاة (بشراكة شفافة مع ديوان الزكاة)</w:t>
            </w:r>
          </w:p>
        </w:tc>
        <w:tc>
          <w:tcPr/>
          <w:p>
            <w:pPr>
              <w:pStyle w:val="Compact"/>
              <w:bidi/>
              <w:jc w:val="left"/>
            </w:pPr>
            <w:r>
              <w:rPr>
                <w:rtl/>
              </w:rPr>
              <w:t xml:space="preserve">0.01</w:t>
            </w:r>
          </w:p>
        </w:tc>
        <w:tc>
          <w:tcPr/>
          <w:p>
            <w:pPr>
              <w:pStyle w:val="Compact"/>
              <w:bidi/>
              <w:jc w:val="left"/>
            </w:pPr>
            <w:r>
              <w:rPr>
                <w:rtl/>
              </w:rPr>
              <w:t xml:space="preserve">0.03</w:t>
            </w:r>
          </w:p>
        </w:tc>
        <w:tc>
          <w:tcPr/>
          <w:p>
            <w:pPr>
              <w:pStyle w:val="Compact"/>
              <w:bidi/>
              <w:jc w:val="left"/>
            </w:pPr>
            <w:r>
              <w:rPr>
                <w:rtl/>
              </w:rPr>
              <w:t xml:space="preserve">0.10</w:t>
            </w:r>
          </w:p>
        </w:tc>
        <w:tc>
          <w:tcPr/>
          <w:p>
            <w:pPr>
              <w:pStyle w:val="Compact"/>
              <w:bidi/>
              <w:jc w:val="left"/>
            </w:pPr>
            <w:r>
              <w:rPr>
                <w:rtl/>
              </w:rPr>
              <w:t xml:space="preserve">0.16</w:t>
            </w:r>
          </w:p>
        </w:tc>
      </w:tr>
      <w:tr>
        <w:tc>
          <w:tcPr/>
          <w:p>
            <w:pPr>
              <w:pStyle w:val="Compact"/>
              <w:bidi/>
              <w:jc w:val="left"/>
            </w:pPr>
            <w:r>
              <w:rPr>
                <w:b/>
                <w:bCs/>
                <w:rtl/>
              </w:rPr>
              <w:t xml:space="preserve">الإجمالي</w:t>
            </w:r>
          </w:p>
        </w:tc>
        <w:tc>
          <w:tcPr/>
          <w:p>
            <w:pPr>
              <w:pStyle w:val="Compact"/>
              <w:bidi/>
              <w:jc w:val="left"/>
            </w:pPr>
            <w:r>
              <w:rPr>
                <w:b/>
                <w:bCs/>
                <w:rtl/>
              </w:rPr>
              <w:t xml:space="preserve">0.29</w:t>
            </w:r>
          </w:p>
        </w:tc>
        <w:tc>
          <w:tcPr/>
          <w:p>
            <w:pPr>
              <w:pStyle w:val="Compact"/>
              <w:bidi/>
              <w:jc w:val="left"/>
            </w:pPr>
            <w:r>
              <w:rPr>
                <w:b/>
                <w:bCs/>
                <w:rtl/>
              </w:rPr>
              <w:t xml:space="preserve">0.77</w:t>
            </w:r>
          </w:p>
        </w:tc>
        <w:tc>
          <w:tcPr/>
          <w:p>
            <w:pPr>
              <w:pStyle w:val="Compact"/>
              <w:bidi/>
              <w:jc w:val="left"/>
            </w:pPr>
            <w:r>
              <w:rPr>
                <w:b/>
                <w:bCs/>
                <w:rtl/>
              </w:rPr>
              <w:t xml:space="preserve">1.34</w:t>
            </w:r>
          </w:p>
        </w:tc>
        <w:tc>
          <w:tcPr/>
          <w:p>
            <w:pPr>
              <w:pStyle w:val="Compact"/>
              <w:bidi/>
              <w:jc w:val="left"/>
            </w:pPr>
            <w:r>
              <w:rPr>
                <w:b/>
                <w:bCs/>
                <w:rtl/>
              </w:rPr>
              <w:t xml:space="preserve">1.72</w:t>
            </w:r>
          </w:p>
        </w:tc>
      </w:tr>
      <w:tr>
        <w:tc>
          <w:tcPr/>
          <w:p>
            <w:pPr>
              <w:pStyle w:val="Compact"/>
              <w:bidi/>
              <w:jc w:val="left"/>
            </w:pPr>
            <w:r>
              <w:rPr>
                <w:b/>
                <w:bCs/>
                <w:rtl/>
              </w:rPr>
              <w:t xml:space="preserve">حصة التمويل الذاتي</w:t>
            </w:r>
          </w:p>
        </w:tc>
        <w:tc>
          <w:tcPr/>
          <w:p>
            <w:pPr>
              <w:pStyle w:val="Compact"/>
              <w:bidi/>
              <w:jc w:val="left"/>
            </w:pPr>
            <w:r>
              <w:rPr>
                <w:rtl/>
              </w:rPr>
              <w:t xml:space="preserve">نحو 10%</w:t>
            </w:r>
          </w:p>
        </w:tc>
        <w:tc>
          <w:tcPr/>
          <w:p>
            <w:pPr>
              <w:pStyle w:val="Compact"/>
              <w:bidi/>
              <w:jc w:val="left"/>
            </w:pPr>
            <w:r>
              <w:rPr>
                <w:rtl/>
              </w:rPr>
              <w:t xml:space="preserve">نحو 30%</w:t>
            </w:r>
          </w:p>
        </w:tc>
        <w:tc>
          <w:tcPr/>
          <w:p>
            <w:pPr>
              <w:pStyle w:val="Compact"/>
              <w:bidi/>
              <w:jc w:val="left"/>
            </w:pPr>
            <w:r>
              <w:rPr>
                <w:rtl/>
              </w:rPr>
              <w:t xml:space="preserve">نحو 60%</w:t>
            </w:r>
          </w:p>
        </w:tc>
        <w:tc>
          <w:tcPr/>
          <w:p>
            <w:pPr>
              <w:pStyle w:val="Compact"/>
              <w:bidi/>
              <w:jc w:val="left"/>
            </w:pPr>
            <w:r>
              <w:rPr>
                <w:rtl/>
              </w:rPr>
              <w:t xml:space="preserve">نحو 85%</w:t>
            </w:r>
          </w:p>
        </w:tc>
      </w:tr>
    </w:tbl>
    <w:p>
      <w:pPr>
        <w:pStyle w:val="BodyText"/>
        <w:bidi/>
      </w:pPr>
      <w:r>
        <w:rPr>
          <w:b/>
          <w:bCs/>
          <w:rtl/>
        </w:rPr>
        <w:t xml:space="preserve">قراءة الجدول:</w:t>
      </w:r>
      <w:r>
        <w:rPr>
          <w:rtl/>
        </w:rPr>
        <w:t xml:space="preserve"> </w:t>
      </w:r>
      <w:r>
        <w:rPr>
          <w:rtl/>
        </w:rPr>
        <w:t xml:space="preserve">تبدأ الحماية النقدية بتمويل خارجي شبه كامل، وتنتقل تدريجياً إلى التمويل الذاتي. وفي 2034، يعادل التمويل الذاتي (نحو 1.46 مليار دولار) أقل من عُشر الإيرادات العامة المتوقعة في السيناريو المعتدل (نحو 15.2 مليار دولار)، وهو عبء يمكن تحمله.</w:t>
      </w:r>
      <w:r>
        <w:rPr>
          <w:rtl/>
        </w:rPr>
        <w:t xml:space="preserve"> </w:t>
      </w:r>
      <w:r>
        <w:rPr>
          <w:b/>
          <w:bCs/>
          <w:rtl/>
        </w:rPr>
        <w:t xml:space="preserve">أما التجربة الرائدة</w:t>
      </w:r>
      <w:r>
        <w:rPr>
          <w:rtl/>
        </w:rPr>
        <w:t xml:space="preserve"> </w:t>
      </w:r>
      <w:r>
        <w:rPr>
          <w:rtl/>
        </w:rPr>
        <w:t xml:space="preserve">(نحو 36 مليون دولار) فتُموَّل من الشركاء خارج هذا الجدول.</w:t>
      </w:r>
    </w:p>
    <w:p>
      <w:pPr>
        <w:pStyle w:val="BodyText"/>
        <w:bidi/>
      </w:pPr>
      <w:r>
        <w:rPr>
          <w:b/>
          <w:bCs/>
          <w:rtl/>
        </w:rPr>
        <w:t xml:space="preserve">وقاعدة ثابتة:</w:t>
      </w:r>
      <w:r>
        <w:rPr>
          <w:rtl/>
        </w:rPr>
        <w:t xml:space="preserve"> </w:t>
      </w:r>
      <w:r>
        <w:rPr>
          <w:rtl/>
        </w:rPr>
        <w:t xml:space="preserve">لا يُموَّل البرنامج بطباعة النقود، ولا برهن الموارد قبل استخراجها، ولا بعملات رقمية مغطاة بثروات لم تُستخرج.</w:t>
      </w:r>
    </w:p>
    <w:p>
      <w:pPr>
        <w:bidi/>
      </w:pPr>
      <w:r>
        <w:rPr>
          <w:rtl/>
        </w:rPr>
        <w:br w:type="page"/>
      </w:r>
    </w:p>
    <w:bookmarkEnd w:id="41"/>
    <w:bookmarkEnd w:id="42"/>
    <w:bookmarkStart w:id="43" w:name="تاسعا-التسلسل-الزمني"/>
    <w:p>
      <w:pPr>
        <w:pStyle w:val="Heading1"/>
        <w:bidi/>
      </w:pPr>
      <w:r>
        <w:rPr>
          <w:rtl/>
        </w:rPr>
        <w:t xml:space="preserve">تاسعاً: التسلسل الزمني</w:t>
      </w:r>
    </w:p>
    <w:tbl>
      <w:tblPr>
        <w:tblStyle w:val="Table"/>
        <w:bidiVisual/>
        <w:tblW w:w="5000" w:type="pct"/>
        <w:jc w:val="start"/>
        <w:tblLook w:val="04A0" w:firstRow="1" w:lastRow="0" w:firstColumn="0" w:lastColumn="0" w:noHBand="0" w:noVBand="1"/>
      </w:tblPr>
      <w:tblGrid>
        <w:gridCol w:w="2640"/>
        <w:gridCol w:w="2640"/>
        <w:gridCol w:w="2640"/>
      </w:tblGrid>
      <w:tr>
        <w:trPr>
          <w:tblHeader w:val="true"/>
        </w:trPr>
        <w:tc>
          <w:tcPr/>
          <w:p>
            <w:pPr>
              <w:pStyle w:val="Compact"/>
              <w:bidi/>
              <w:jc w:val="left"/>
            </w:pPr>
            <w:r>
              <w:rPr>
                <w:rtl/>
              </w:rPr>
              <w:t xml:space="preserve">المرحلة</w:t>
            </w:r>
          </w:p>
        </w:tc>
        <w:tc>
          <w:tcPr/>
          <w:p>
            <w:pPr>
              <w:pStyle w:val="Compact"/>
              <w:bidi/>
              <w:jc w:val="left"/>
            </w:pPr>
            <w:r>
              <w:rPr>
                <w:rtl/>
              </w:rPr>
              <w:t xml:space="preserve">الفترة</w:t>
            </w:r>
          </w:p>
        </w:tc>
        <w:tc>
          <w:tcPr/>
          <w:p>
            <w:pPr>
              <w:pStyle w:val="Compact"/>
              <w:bidi/>
              <w:jc w:val="left"/>
            </w:pPr>
            <w:r>
              <w:rPr>
                <w:rtl/>
              </w:rPr>
              <w:t xml:space="preserve">ما يتم</w:t>
            </w:r>
          </w:p>
        </w:tc>
      </w:tr>
      <w:tr>
        <w:tc>
          <w:tcPr/>
          <w:p>
            <w:pPr>
              <w:pStyle w:val="Compact"/>
              <w:bidi/>
              <w:jc w:val="left"/>
            </w:pPr>
            <w:r>
              <w:rPr>
                <w:b/>
                <w:bCs/>
                <w:rtl/>
              </w:rPr>
              <w:t xml:space="preserve">الطوارئ</w:t>
            </w:r>
          </w:p>
        </w:tc>
        <w:tc>
          <w:tcPr/>
          <w:p>
            <w:pPr>
              <w:pStyle w:val="Compact"/>
              <w:bidi/>
              <w:jc w:val="left"/>
            </w:pPr>
            <w:r>
              <w:rPr>
                <w:rtl/>
              </w:rPr>
              <w:t xml:space="preserve">الأشهر 1–6</w:t>
            </w:r>
          </w:p>
        </w:tc>
        <w:tc>
          <w:tcPr/>
          <w:p>
            <w:pPr>
              <w:pStyle w:val="Compact"/>
              <w:bidi/>
              <w:jc w:val="left"/>
            </w:pPr>
            <w:r>
              <w:rPr>
                <w:rtl/>
              </w:rPr>
              <w:t xml:space="preserve">تحويلات نقدية عاجلة مع الشركاء الإنسانيين في مناطق المجاعة؛ بدء التسجيل بمساريه</w:t>
            </w:r>
          </w:p>
        </w:tc>
      </w:tr>
      <w:tr>
        <w:tc>
          <w:tcPr/>
          <w:p>
            <w:pPr>
              <w:pStyle w:val="Compact"/>
              <w:bidi/>
              <w:jc w:val="left"/>
            </w:pPr>
            <w:r>
              <w:rPr>
                <w:b/>
                <w:bCs/>
                <w:rtl/>
              </w:rPr>
              <w:t xml:space="preserve">البناء</w:t>
            </w:r>
          </w:p>
        </w:tc>
        <w:tc>
          <w:tcPr/>
          <w:p>
            <w:pPr>
              <w:pStyle w:val="Compact"/>
              <w:bidi/>
              <w:jc w:val="left"/>
            </w:pPr>
            <w:r>
              <w:rPr>
                <w:rtl/>
              </w:rPr>
              <w:t xml:space="preserve">الأشهر 6–18</w:t>
            </w:r>
          </w:p>
        </w:tc>
        <w:tc>
          <w:tcPr/>
          <w:p>
            <w:pPr>
              <w:pStyle w:val="Compact"/>
              <w:bidi/>
              <w:jc w:val="left"/>
            </w:pPr>
            <w:r>
              <w:rPr>
                <w:rtl/>
              </w:rPr>
              <w:t xml:space="preserve">تشغيل الحماية النقدية المستهدفة؛ تصميم التجربة الرائدة واختيار المحليتين</w:t>
            </w:r>
          </w:p>
        </w:tc>
      </w:tr>
      <w:tr>
        <w:tc>
          <w:tcPr/>
          <w:p>
            <w:pPr>
              <w:pStyle w:val="Compact"/>
              <w:bidi/>
              <w:jc w:val="left"/>
            </w:pPr>
            <w:r>
              <w:rPr>
                <w:b/>
                <w:bCs/>
                <w:rtl/>
              </w:rPr>
              <w:t xml:space="preserve">التجربة</w:t>
            </w:r>
          </w:p>
        </w:tc>
        <w:tc>
          <w:tcPr/>
          <w:p>
            <w:pPr>
              <w:pStyle w:val="Compact"/>
              <w:bidi/>
              <w:jc w:val="left"/>
            </w:pPr>
            <w:r>
              <w:rPr>
                <w:rtl/>
              </w:rPr>
              <w:t xml:space="preserve">الأشهر 18–42</w:t>
            </w:r>
          </w:p>
        </w:tc>
        <w:tc>
          <w:tcPr/>
          <w:p>
            <w:pPr>
              <w:pStyle w:val="Compact"/>
              <w:bidi/>
              <w:jc w:val="left"/>
            </w:pPr>
            <w:r>
              <w:rPr>
                <w:rtl/>
              </w:rPr>
              <w:t xml:space="preserve">تنفيذ التجربة الرائدة لمدة سنتين؛ توسيع التغطية إلى 40% من الأسر المستحقة</w:t>
            </w:r>
          </w:p>
        </w:tc>
      </w:tr>
      <w:tr>
        <w:tc>
          <w:tcPr/>
          <w:p>
            <w:pPr>
              <w:pStyle w:val="Compact"/>
              <w:bidi/>
              <w:jc w:val="left"/>
            </w:pPr>
            <w:r>
              <w:rPr>
                <w:b/>
                <w:bCs/>
                <w:rtl/>
              </w:rPr>
              <w:t xml:space="preserve">القرار</w:t>
            </w:r>
          </w:p>
        </w:tc>
        <w:tc>
          <w:tcPr/>
          <w:p>
            <w:pPr>
              <w:pStyle w:val="Compact"/>
              <w:bidi/>
              <w:jc w:val="left"/>
            </w:pPr>
            <w:r>
              <w:rPr>
                <w:rtl/>
              </w:rPr>
              <w:t xml:space="preserve">بعد الشهر 42</w:t>
            </w:r>
          </w:p>
        </w:tc>
        <w:tc>
          <w:tcPr/>
          <w:p>
            <w:pPr>
              <w:pStyle w:val="Compact"/>
              <w:bidi/>
              <w:jc w:val="left"/>
            </w:pPr>
            <w:r>
              <w:rPr>
                <w:rtl/>
              </w:rPr>
              <w:t xml:space="preserve">نشر نتائج التقييم؛ قرار الحكومة المنتخبة بالتوسع أو التعديل؛ بدء إصلاح التأمين الاجتماعي</w:t>
            </w:r>
          </w:p>
        </w:tc>
      </w:tr>
    </w:tbl>
    <w:p>
      <w:pPr>
        <w:bidi/>
      </w:pPr>
      <w:r>
        <w:rPr>
          <w:rtl/>
        </w:rPr>
        <w:br w:type="page"/>
      </w:r>
    </w:p>
    <w:bookmarkEnd w:id="43"/>
    <w:bookmarkStart w:id="44" w:name="عاشرا-مؤشرات-المتابعة"/>
    <w:p>
      <w:pPr>
        <w:pStyle w:val="Heading1"/>
        <w:bidi/>
      </w:pPr>
      <w:r>
        <w:rPr>
          <w:rtl/>
        </w:rPr>
        <w:t xml:space="preserve">عاشراً: مؤشرات المتابعة</w:t>
      </w:r>
    </w:p>
    <w:tbl>
      <w:tblPr>
        <w:tblStyle w:val="Table"/>
        <w:bidiVisual/>
        <w:tblW w:w="5000" w:type="pct"/>
        <w:jc w:val="start"/>
        <w:tblLook w:val="04A0" w:firstRow="1" w:lastRow="0" w:firstColumn="0" w:lastColumn="0" w:noHBand="0" w:noVBand="1"/>
      </w:tblPr>
      <w:tblGrid>
        <w:gridCol w:w="1584"/>
        <w:gridCol w:w="1584"/>
        <w:gridCol w:w="1584"/>
        <w:gridCol w:w="1584"/>
        <w:gridCol w:w="1584"/>
      </w:tblGrid>
      <w:tr>
        <w:trPr>
          <w:tblHeader w:val="true"/>
        </w:trPr>
        <w:tc>
          <w:tcPr/>
          <w:p>
            <w:pPr>
              <w:pStyle w:val="Compact"/>
              <w:bidi/>
              <w:jc w:val="left"/>
            </w:pPr>
            <w:r>
              <w:rPr>
                <w:rtl/>
              </w:rPr>
              <w:t xml:space="preserve">المؤشر</w:t>
            </w:r>
          </w:p>
        </w:tc>
        <w:tc>
          <w:tcPr/>
          <w:p>
            <w:pPr>
              <w:pStyle w:val="Compact"/>
              <w:bidi/>
              <w:jc w:val="left"/>
            </w:pPr>
            <w:r>
              <w:rPr>
                <w:rtl/>
              </w:rPr>
              <w:t xml:space="preserve">التعريف</w:t>
            </w:r>
          </w:p>
        </w:tc>
        <w:tc>
          <w:tcPr/>
          <w:p>
            <w:pPr>
              <w:pStyle w:val="Compact"/>
              <w:bidi/>
              <w:jc w:val="left"/>
            </w:pPr>
            <w:r>
              <w:rPr>
                <w:rtl/>
              </w:rPr>
              <w:t xml:space="preserve">الشهر 36</w:t>
            </w:r>
          </w:p>
        </w:tc>
        <w:tc>
          <w:tcPr/>
          <w:p>
            <w:pPr>
              <w:pStyle w:val="Compact"/>
              <w:bidi/>
              <w:jc w:val="left"/>
            </w:pPr>
            <w:r>
              <w:rPr>
                <w:rtl/>
              </w:rPr>
              <w:t xml:space="preserve">الشهر 60</w:t>
            </w:r>
          </w:p>
        </w:tc>
        <w:tc>
          <w:tcPr/>
          <w:p>
            <w:pPr>
              <w:pStyle w:val="Compact"/>
              <w:bidi/>
              <w:jc w:val="left"/>
            </w:pPr>
            <w:r>
              <w:rPr>
                <w:rtl/>
              </w:rPr>
              <w:t xml:space="preserve">الشهر 96</w:t>
            </w:r>
          </w:p>
        </w:tc>
      </w:tr>
      <w:tr>
        <w:tc>
          <w:tcPr/>
          <w:p>
            <w:pPr>
              <w:pStyle w:val="Compact"/>
              <w:bidi/>
              <w:jc w:val="left"/>
            </w:pPr>
            <w:r>
              <w:rPr>
                <w:b/>
                <w:bCs/>
                <w:rtl/>
              </w:rPr>
              <w:t xml:space="preserve">تغطية الحماية النقدية</w:t>
            </w:r>
          </w:p>
        </w:tc>
        <w:tc>
          <w:tcPr/>
          <w:p>
            <w:pPr>
              <w:pStyle w:val="Compact"/>
              <w:bidi/>
              <w:jc w:val="left"/>
            </w:pPr>
            <w:r>
              <w:rPr>
                <w:rtl/>
              </w:rPr>
              <w:t xml:space="preserve">نسبة الأسر المستحقة (الخُمس الأفقر) التي تتلقى تحويلات منتظمة</w:t>
            </w:r>
          </w:p>
        </w:tc>
        <w:tc>
          <w:tcPr/>
          <w:p>
            <w:pPr>
              <w:pStyle w:val="Compact"/>
              <w:bidi/>
              <w:jc w:val="left"/>
            </w:pPr>
            <w:r>
              <w:rPr>
                <w:rtl/>
              </w:rPr>
              <w:t xml:space="preserve">40%</w:t>
            </w:r>
          </w:p>
        </w:tc>
        <w:tc>
          <w:tcPr/>
          <w:p>
            <w:pPr>
              <w:pStyle w:val="Compact"/>
              <w:bidi/>
              <w:jc w:val="left"/>
            </w:pPr>
            <w:r>
              <w:rPr>
                <w:rtl/>
              </w:rPr>
              <w:t xml:space="preserve">70%</w:t>
            </w:r>
          </w:p>
        </w:tc>
        <w:tc>
          <w:tcPr/>
          <w:p>
            <w:pPr>
              <w:pStyle w:val="Compact"/>
              <w:bidi/>
              <w:jc w:val="left"/>
            </w:pPr>
            <w:r>
              <w:rPr>
                <w:rtl/>
              </w:rPr>
              <w:t xml:space="preserve">90%</w:t>
            </w:r>
          </w:p>
        </w:tc>
      </w:tr>
      <w:tr>
        <w:tc>
          <w:tcPr/>
          <w:p>
            <w:pPr>
              <w:pStyle w:val="Compact"/>
              <w:bidi/>
              <w:jc w:val="left"/>
            </w:pPr>
            <w:r>
              <w:rPr>
                <w:b/>
                <w:bCs/>
                <w:rtl/>
              </w:rPr>
              <w:t xml:space="preserve">انتظام الدفع</w:t>
            </w:r>
          </w:p>
        </w:tc>
        <w:tc>
          <w:tcPr/>
          <w:p>
            <w:pPr>
              <w:pStyle w:val="Compact"/>
              <w:bidi/>
              <w:jc w:val="left"/>
            </w:pPr>
            <w:r>
              <w:rPr>
                <w:rtl/>
              </w:rPr>
              <w:t xml:space="preserve">نسبة الدفعات التي تصل في موعدها</w:t>
            </w:r>
          </w:p>
        </w:tc>
        <w:tc>
          <w:tcPr/>
          <w:p>
            <w:pPr>
              <w:pStyle w:val="Compact"/>
              <w:bidi/>
              <w:jc w:val="left"/>
            </w:pPr>
            <w:r>
              <w:rPr>
                <w:rtl/>
              </w:rPr>
              <w:t xml:space="preserve">90%</w:t>
            </w:r>
          </w:p>
        </w:tc>
        <w:tc>
          <w:tcPr/>
          <w:p>
            <w:pPr>
              <w:pStyle w:val="Compact"/>
              <w:bidi/>
              <w:jc w:val="left"/>
            </w:pPr>
            <w:r>
              <w:rPr>
                <w:rtl/>
              </w:rPr>
              <w:t xml:space="preserve">95%</w:t>
            </w:r>
          </w:p>
        </w:tc>
        <w:tc>
          <w:tcPr/>
          <w:p>
            <w:pPr>
              <w:pStyle w:val="Compact"/>
              <w:bidi/>
              <w:jc w:val="left"/>
            </w:pPr>
            <w:r>
              <w:rPr>
                <w:rtl/>
              </w:rPr>
              <w:t xml:space="preserve">98%</w:t>
            </w:r>
          </w:p>
        </w:tc>
      </w:tr>
      <w:tr>
        <w:tc>
          <w:tcPr/>
          <w:p>
            <w:pPr>
              <w:pStyle w:val="Compact"/>
              <w:bidi/>
              <w:jc w:val="left"/>
            </w:pPr>
            <w:r>
              <w:rPr>
                <w:b/>
                <w:bCs/>
                <w:rtl/>
              </w:rPr>
              <w:t xml:space="preserve">أخطاء الإقصاء والإدراج</w:t>
            </w:r>
          </w:p>
        </w:tc>
        <w:tc>
          <w:tcPr/>
          <w:p>
            <w:pPr>
              <w:pStyle w:val="Compact"/>
              <w:bidi/>
              <w:jc w:val="left"/>
            </w:pPr>
            <w:r>
              <w:rPr>
                <w:rtl/>
              </w:rPr>
              <w:t xml:space="preserve">تقاس بمسح تحقق مستقل سنوي</w:t>
            </w:r>
          </w:p>
        </w:tc>
        <w:tc>
          <w:tcPr/>
          <w:p>
            <w:pPr>
              <w:pStyle w:val="Compact"/>
              <w:bidi/>
              <w:jc w:val="left"/>
            </w:pPr>
            <w:r>
              <w:rPr>
                <w:rtl/>
              </w:rPr>
              <w:t xml:space="preserve">تُقاس</w:t>
            </w:r>
          </w:p>
        </w:tc>
        <w:tc>
          <w:tcPr/>
          <w:p>
            <w:pPr>
              <w:pStyle w:val="Compact"/>
              <w:bidi/>
              <w:jc w:val="left"/>
            </w:pPr>
            <w:r>
              <w:rPr>
                <w:rtl/>
              </w:rPr>
              <w:t xml:space="preserve">انخفاض</w:t>
            </w:r>
          </w:p>
        </w:tc>
        <w:tc>
          <w:tcPr/>
          <w:p>
            <w:pPr>
              <w:pStyle w:val="Compact"/>
              <w:bidi/>
              <w:jc w:val="left"/>
            </w:pPr>
            <w:r>
              <w:rPr>
                <w:rtl/>
              </w:rPr>
              <w:t xml:space="preserve">انخفاض</w:t>
            </w:r>
          </w:p>
        </w:tc>
      </w:tr>
      <w:tr>
        <w:tc>
          <w:tcPr/>
          <w:p>
            <w:pPr>
              <w:pStyle w:val="Compact"/>
              <w:bidi/>
              <w:jc w:val="left"/>
            </w:pPr>
            <w:r>
              <w:rPr>
                <w:b/>
                <w:bCs/>
                <w:rtl/>
              </w:rPr>
              <w:t xml:space="preserve">الشكاوى المعالجة</w:t>
            </w:r>
          </w:p>
        </w:tc>
        <w:tc>
          <w:tcPr/>
          <w:p>
            <w:pPr>
              <w:pStyle w:val="Compact"/>
              <w:bidi/>
              <w:jc w:val="left"/>
            </w:pPr>
            <w:r>
              <w:rPr>
                <w:rtl/>
              </w:rPr>
              <w:t xml:space="preserve">نسبة الشكاوى التي تُعالج خلال 30 يوماً</w:t>
            </w:r>
          </w:p>
        </w:tc>
        <w:tc>
          <w:tcPr/>
          <w:p>
            <w:pPr>
              <w:pStyle w:val="Compact"/>
              <w:bidi/>
              <w:jc w:val="left"/>
            </w:pPr>
            <w:r>
              <w:rPr>
                <w:rtl/>
              </w:rPr>
              <w:t xml:space="preserve">80%</w:t>
            </w:r>
          </w:p>
        </w:tc>
        <w:tc>
          <w:tcPr/>
          <w:p>
            <w:pPr>
              <w:pStyle w:val="Compact"/>
              <w:bidi/>
              <w:jc w:val="left"/>
            </w:pPr>
            <w:r>
              <w:rPr>
                <w:rtl/>
              </w:rPr>
              <w:t xml:space="preserve">90%</w:t>
            </w:r>
          </w:p>
        </w:tc>
        <w:tc>
          <w:tcPr/>
          <w:p>
            <w:pPr>
              <w:pStyle w:val="Compact"/>
              <w:bidi/>
              <w:jc w:val="left"/>
            </w:pPr>
            <w:r>
              <w:rPr>
                <w:rtl/>
              </w:rPr>
              <w:t xml:space="preserve">95%</w:t>
            </w:r>
          </w:p>
        </w:tc>
      </w:tr>
      <w:tr>
        <w:tc>
          <w:tcPr/>
          <w:p>
            <w:pPr>
              <w:pStyle w:val="Compact"/>
              <w:bidi/>
              <w:jc w:val="left"/>
            </w:pPr>
            <w:r>
              <w:rPr>
                <w:b/>
                <w:bCs/>
                <w:rtl/>
              </w:rPr>
              <w:t xml:space="preserve">حصة التمويل الذاتي</w:t>
            </w:r>
          </w:p>
        </w:tc>
        <w:tc>
          <w:tcPr/>
          <w:p>
            <w:pPr>
              <w:pStyle w:val="Compact"/>
              <w:bidi/>
              <w:jc w:val="left"/>
            </w:pPr>
            <w:r>
              <w:rPr>
                <w:rtl/>
              </w:rPr>
              <w:t xml:space="preserve">نسبة التمويل من الموارد المحلية</w:t>
            </w:r>
          </w:p>
        </w:tc>
        <w:tc>
          <w:tcPr/>
          <w:p>
            <w:pPr>
              <w:pStyle w:val="Compact"/>
              <w:bidi/>
              <w:jc w:val="left"/>
            </w:pPr>
            <w:r>
              <w:rPr>
                <w:rtl/>
              </w:rPr>
              <w:t xml:space="preserve">30%</w:t>
            </w:r>
          </w:p>
        </w:tc>
        <w:tc>
          <w:tcPr/>
          <w:p>
            <w:pPr>
              <w:pStyle w:val="Compact"/>
              <w:bidi/>
              <w:jc w:val="left"/>
            </w:pPr>
            <w:r>
              <w:rPr>
                <w:rtl/>
              </w:rPr>
              <w:t xml:space="preserve">60%</w:t>
            </w:r>
          </w:p>
        </w:tc>
        <w:tc>
          <w:tcPr/>
          <w:p>
            <w:pPr>
              <w:pStyle w:val="Compact"/>
              <w:bidi/>
              <w:jc w:val="left"/>
            </w:pPr>
            <w:r>
              <w:rPr>
                <w:rtl/>
              </w:rPr>
              <w:t xml:space="preserve">85%</w:t>
            </w:r>
          </w:p>
        </w:tc>
      </w:tr>
      <w:tr>
        <w:tc>
          <w:tcPr/>
          <w:p>
            <w:pPr>
              <w:pStyle w:val="Compact"/>
              <w:bidi/>
              <w:jc w:val="left"/>
            </w:pPr>
            <w:r>
              <w:rPr>
                <w:b/>
                <w:bCs/>
                <w:rtl/>
              </w:rPr>
              <w:t xml:space="preserve">نشر تقييم التجربة الرائدة</w:t>
            </w:r>
          </w:p>
        </w:tc>
        <w:tc>
          <w:tcPr/>
          <w:p>
            <w:pPr>
              <w:pStyle w:val="Compact"/>
              <w:bidi/>
              <w:jc w:val="left"/>
            </w:pPr>
            <w:r>
              <w:rPr>
                <w:rtl/>
              </w:rPr>
              <w:t xml:space="preserve">تقرير مستقل منشور</w:t>
            </w:r>
          </w:p>
        </w:tc>
        <w:tc>
          <w:tcPr/>
          <w:p>
            <w:pPr>
              <w:pStyle w:val="Compact"/>
              <w:bidi/>
              <w:jc w:val="left"/>
            </w:pPr>
            <w:r>
              <w:rPr>
                <w:rtl/>
              </w:rPr>
              <w:t xml:space="preserve">—</w:t>
            </w:r>
          </w:p>
        </w:tc>
        <w:tc>
          <w:tcPr/>
          <w:p>
            <w:pPr>
              <w:pStyle w:val="Compact"/>
              <w:bidi/>
              <w:jc w:val="left"/>
            </w:pPr>
            <w:r>
              <w:rPr>
                <w:rtl/>
              </w:rPr>
              <w:t xml:space="preserve">منشور</w:t>
            </w:r>
          </w:p>
        </w:tc>
        <w:tc>
          <w:tcPr/>
          <w:p>
            <w:pPr>
              <w:pStyle w:val="Compact"/>
              <w:bidi/>
              <w:jc w:val="left"/>
            </w:pPr>
            <w:r>
              <w:rPr>
                <w:rtl/>
              </w:rPr>
              <w:t xml:space="preserve">—</w:t>
            </w:r>
          </w:p>
        </w:tc>
      </w:tr>
    </w:tbl>
    <w:p>
      <w:pPr>
        <w:bidi/>
      </w:pPr>
      <w:r>
        <w:rPr>
          <w:rtl/>
        </w:rPr>
        <w:br w:type="page"/>
      </w:r>
    </w:p>
    <w:bookmarkEnd w:id="44"/>
    <w:bookmarkStart w:id="45" w:name="خاتمة"/>
    <w:p>
      <w:pPr>
        <w:pStyle w:val="Heading1"/>
        <w:bidi/>
      </w:pPr>
      <w:r>
        <w:rPr>
          <w:rtl/>
        </w:rPr>
        <w:t xml:space="preserve">خاتمة</w:t>
      </w:r>
    </w:p>
    <w:p>
      <w:pPr>
        <w:pStyle w:val="FirstParagraph"/>
        <w:bidi/>
      </w:pPr>
      <w:r>
        <w:rPr>
          <w:rtl/>
        </w:rPr>
        <w:t xml:space="preserve">إن فكرة التوفير الشامل عادلة وضرورية،</w:t>
      </w:r>
      <w:r>
        <w:rPr>
          <w:rtl/>
        </w:rPr>
        <w:t xml:space="preserve"> </w:t>
      </w:r>
      <w:r>
        <w:rPr>
          <w:b/>
          <w:bCs/>
          <w:rtl/>
        </w:rPr>
        <w:t xml:space="preserve">لكن الطريق إليها يمر بالخدمات الشاملة أولاً، ثم بالحماية النقدية المستهدفة، ثم بالتجريب العلمي</w:t>
      </w:r>
      <w:r>
        <w:rPr>
          <w:rtl/>
        </w:rPr>
        <w:t xml:space="preserve">، لا بالقفز إلى دخل أساسي شامل لا تملك الدولة ولا المانحون تمويله. وإذا نجحت التجربة الرائدة، وارتفعت إيرادات الدولة كما تستهدف الرؤية، يصبح توسيع الدخل الأساسي تدريجياً قراراً ممكناً للحكومات المنتخبة.</w:t>
      </w:r>
      <w:r>
        <w:rPr>
          <w:rtl/>
        </w:rPr>
        <w:t xml:space="preserve"> </w:t>
      </w:r>
      <w:r>
        <w:rPr>
          <w:b/>
          <w:bCs/>
          <w:rtl/>
        </w:rPr>
        <w:t xml:space="preserve">فالمهم ألا نعد الناس بما لا نملك، وألا نحرمهم مما نستطيع.</w:t>
      </w:r>
    </w:p>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Noto Naskh Arabic">
    <w:charset w:val="00"/>
    <w:family w:val="roman"/>
    <w:pitch w:val="variable"/>
    <w:embedRegular r:id="rIdFont1" w:fontKey="{D01F6732-36CF-463C-A7B4-D5BEA3D025B6}"/>
    <w:embedBold r:id="rIdFont2" w:fontKey="{A518FA3A-93CB-44DF-8F8D-4DC661D06035}"/>
  </w:font>
</w:fonts>
</file>

<file path=word/footer1.xml><?xml version="1.0" encoding="utf-8"?>
<w:ftr xmlns:w="http://schemas.openxmlformats.org/wordprocessingml/2006/main" xmlns:r="http://schemas.openxmlformats.org/officeDocument/2006/relationships">
  <w:p>
    <w:pPr>
      <w:pStyle w:val="Footer"/>
      <w:bidi/>
    </w:pPr>
    <w:r>
      <w:rPr>
        <w:rtl/>
      </w:rPr>
      <w:t xml:space="preserve">— </w:t>
    </w:r>
    <w:r>
      <w:rPr>
        <w:rtl/>
      </w:rPr>
      <w:fldChar w:fldCharType="begin"/>
    </w:r>
    <w:r>
      <w:rPr>
        <w:rtl/>
      </w:rPr>
      <w:instrText xml:space="preserve"> PAGE </w:instrText>
    </w:r>
    <w:r>
      <w:rPr>
        <w:rtl/>
      </w:rPr>
      <w:fldChar w:fldCharType="separate"/>
    </w:r>
    <w:r>
      <w:rPr>
        <w:rtl/>
      </w:rPr>
      <w:t>1</w:t>
    </w:r>
    <w:r>
      <w:rPr>
        <w:rtl/>
      </w:rPr>
      <w:fldChar w:fldCharType="end"/>
    </w:r>
    <w:r>
      <w:rPr>
        <w:rtl/>
      </w:rPr>
      <w:t xml:space="preserve"> —</w:t>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bidi/>
    </w:pPr>
    <w:r>
      <w:rPr>
        <w:rtl/>
      </w:rPr>
      <w:t xml:space="preserve">عهد جديد — طريق السودان إلى السلم والتعافي الوطني والنهضة</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0000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00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TrueTypeFonts/>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footnotePr>
    <w:footnote w:id="-1"/>
    <w:footnote w:id="0"/>
  </w:footnotePr>
  <w:rsids>
  </w:rsids>
  <m:mathPr>
    <m:mathFont m:val="Cambria Math"/>
    <m:brkBin m:val="before"/>
    <m:brkBinSub m:val="--"/>
    <m:smallFrac m:val="0"/>
    <m:dispDef/>
    <m:lMargin m:val="0"/>
    <m:rMargin m:val="0"/>
    <m:wrapRight/>
    <m:intLim m:val="subSup"/>
    <m:naryLim m:val="undOvr"/>
  </m:mathPr>
  <w:themeFontLang w:val="en-US" w:bidi="ar-SA"/>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oto Naskh Arabic" w:cs="Noto Naskh Arabic" w:eastAsia="Noto Naskh Arabic" w:hAnsi="Noto Naskh Arabic"/>
        <w:sz w:val="24"/>
        <w:szCs w:val="24"/>
        <w:lang w:bidi="ar-SA" w:eastAsia="en-US" w:val="ar-SA"/>
      </w:rPr>
    </w:rPrDefault>
    <w:pPrDefault>
      <w:pPr>
        <w:bidi/>
        <w:spacing w:after="120" w:line="276" w:lineRule="auto"/>
      </w:pPr>
    </w:pPrDefault>
  </w:docDefaults>
  <w:style w:default="1" w:styleId="Normal" w:type="paragraph">
    <w:name w:val="Normal"/>
    <w:qFormat/>
    <w:pPr>
      <w:bidi/>
      <w:spacing w:after="120" w:before="0" w:line="380" w:lineRule="exact"/>
      <w:jc w:val="both"/>
    </w:pPr>
    <w:rPr>
      <w:rFonts w:ascii="Noto Naskh Arabic" w:cs="Noto Naskh Arabic" w:eastAsia="Noto Naskh Arabic" w:hAnsi="Noto Naskh Arabic"/>
      <w:sz w:val="24"/>
      <w:szCs w:val="24"/>
      <w:rtl/>
    </w:rPr>
  </w:style>
  <w:style w:customStyle="1" w:styleId="BodyText" w:type="paragraph">
    <w:name w:val="Body Text"/>
    <w:basedOn w:val="Normal"/>
    <w:next w:val="BodyText"/>
    <w:qFormat/>
    <w:pPr>
      <w:bidi/>
      <w:spacing w:after="120" w:before="0" w:line="380" w:lineRule="exact"/>
      <w:jc w:val="both"/>
    </w:pPr>
    <w:rPr>
      <w:rtl/>
    </w:rPr>
  </w:style>
  <w:style w:customStyle="1" w:styleId="FirstParagraph" w:type="paragraph">
    <w:name w:val="First Paragraph"/>
    <w:basedOn w:val="BodyText"/>
    <w:next w:val="BodyText"/>
    <w:qFormat/>
    <w:pPr>
      <w:bidi/>
      <w:spacing w:after="120" w:before="0" w:line="380" w:lineRule="exact"/>
      <w:jc w:val="both"/>
    </w:pPr>
    <w:rPr>
      <w:rtl/>
    </w:rPr>
  </w:style>
  <w:style w:customStyle="1" w:styleId="Compact" w:type="paragraph">
    <w:name w:val="Compact"/>
    <w:basedOn w:val="BodyText"/>
    <w:next w:val="BodyText"/>
    <w:qFormat/>
    <w:pPr>
      <w:bidi/>
      <w:spacing w:after="30" w:before="30" w:line="340" w:lineRule="exact"/>
    </w:pPr>
    <w:rPr>
      <w:sz w:val="22"/>
      <w:szCs w:val="22"/>
      <w:rtl/>
    </w:rPr>
  </w:style>
  <w:style w:styleId="Heading1" w:type="paragraph">
    <w:name w:val="heading 1"/>
    <w:basedOn w:val="Normal"/>
    <w:next w:val="BodyText"/>
    <w:uiPriority w:val="9"/>
    <w:qFormat/>
    <w:pPr>
      <w:keepNext/>
      <w:keepLines/>
      <w:pBdr>
        <w:bottom w:color="1F3864" w:space="6" w:sz="12" w:val="single"/>
      </w:pBdr>
      <w:bidi/>
      <w:spacing w:after="360" w:before="0" w:line="276" w:lineRule="auto"/>
      <w:jc w:val="left"/>
      <w:outlineLvl w:val="0"/>
    </w:pPr>
    <w:rPr>
      <w:rFonts w:ascii="Noto Naskh Arabic" w:cs="Noto Naskh Arabic" w:eastAsia="Noto Naskh Arabic" w:hAnsi="Noto Naskh Arabic"/>
      <w:b/>
      <w:bCs/>
      <w:color w:val="1F3864"/>
      <w:sz w:val="44"/>
      <w:szCs w:val="44"/>
      <w:rtl/>
    </w:rPr>
  </w:style>
  <w:style w:styleId="Heading2" w:type="paragraph">
    <w:name w:val="heading 2"/>
    <w:basedOn w:val="Normal"/>
    <w:next w:val="BodyText"/>
    <w:uiPriority w:val="9"/>
    <w:qFormat/>
    <w:pPr>
      <w:keepNext/>
      <w:keepLines/>
      <w:bidi/>
      <w:spacing w:after="160" w:before="360" w:line="276" w:lineRule="auto"/>
      <w:jc w:val="left"/>
      <w:outlineLvl w:val="1"/>
    </w:pPr>
    <w:rPr>
      <w:rFonts w:ascii="Noto Naskh Arabic" w:cs="Noto Naskh Arabic" w:eastAsia="Noto Naskh Arabic" w:hAnsi="Noto Naskh Arabic"/>
      <w:b/>
      <w:bCs/>
      <w:color w:val="1E6B52"/>
      <w:sz w:val="33"/>
      <w:szCs w:val="33"/>
      <w:rtl/>
    </w:rPr>
  </w:style>
  <w:style w:styleId="Heading3" w:type="paragraph">
    <w:name w:val="heading 3"/>
    <w:basedOn w:val="Normal"/>
    <w:next w:val="BodyText"/>
    <w:uiPriority w:val="9"/>
    <w:qFormat/>
    <w:pPr>
      <w:keepNext/>
      <w:keepLines/>
      <w:bidi/>
      <w:spacing w:after="100" w:before="240" w:line="276" w:lineRule="auto"/>
      <w:jc w:val="left"/>
      <w:outlineLvl w:val="2"/>
    </w:pPr>
    <w:rPr>
      <w:rFonts w:ascii="Noto Naskh Arabic" w:cs="Noto Naskh Arabic" w:eastAsia="Noto Naskh Arabic" w:hAnsi="Noto Naskh Arabic"/>
      <w:b/>
      <w:bCs/>
      <w:color w:val="9C2A2A"/>
      <w:sz w:val="28"/>
      <w:szCs w:val="28"/>
      <w:rtl/>
    </w:rPr>
  </w:style>
  <w:style w:styleId="Heading4" w:type="paragraph">
    <w:name w:val="heading 4"/>
    <w:basedOn w:val="Normal"/>
    <w:next w:val="BodyText"/>
    <w:uiPriority w:val="9"/>
    <w:qFormat/>
    <w:pPr>
      <w:keepNext/>
      <w:keepLines/>
      <w:bidi/>
      <w:spacing w:after="80" w:before="200" w:line="276" w:lineRule="auto"/>
      <w:jc w:val="left"/>
      <w:outlineLvl w:val="3"/>
    </w:pPr>
    <w:rPr>
      <w:rFonts w:ascii="Noto Naskh Arabic" w:cs="Noto Naskh Arabic" w:eastAsia="Noto Naskh Arabic" w:hAnsi="Noto Naskh Arabic"/>
      <w:b/>
      <w:bCs/>
      <w:color w:val="1F3864"/>
      <w:sz w:val="27"/>
      <w:szCs w:val="27"/>
      <w:rtl/>
    </w:rPr>
  </w:style>
  <w:style w:styleId="Heading5" w:type="paragraph">
    <w:name w:val="heading 5"/>
    <w:basedOn w:val="Normal"/>
    <w:next w:val="BodyText"/>
    <w:uiPriority w:val="9"/>
    <w:qFormat/>
    <w:pPr>
      <w:keepNext/>
      <w:keepLines/>
      <w:bidi/>
      <w:spacing w:after="60" w:before="160" w:line="276" w:lineRule="auto"/>
      <w:jc w:val="left"/>
      <w:outlineLvl w:val="4"/>
    </w:pPr>
    <w:rPr>
      <w:rFonts w:ascii="Noto Naskh Arabic" w:cs="Noto Naskh Arabic" w:eastAsia="Noto Naskh Arabic" w:hAnsi="Noto Naskh Arabic"/>
      <w:b/>
      <w:bCs/>
      <w:color w:val="595959"/>
      <w:sz w:val="28"/>
      <w:szCs w:val="28"/>
      <w:rtl/>
    </w:rPr>
  </w:style>
  <w:style w:styleId="Heading6" w:type="paragraph">
    <w:name w:val="heading 6"/>
    <w:basedOn w:val="Normal"/>
    <w:next w:val="BodyText"/>
    <w:uiPriority w:val="9"/>
    <w:qFormat/>
    <w:pPr>
      <w:keepNext/>
      <w:keepLines/>
      <w:bidi/>
      <w:spacing w:after="60" w:before="160" w:line="276" w:lineRule="auto"/>
      <w:jc w:val="left"/>
      <w:outlineLvl w:val="5"/>
    </w:pPr>
    <w:rPr>
      <w:rFonts w:ascii="Noto Naskh Arabic" w:cs="Noto Naskh Arabic" w:eastAsia="Noto Naskh Arabic" w:hAnsi="Noto Naskh Arabic"/>
      <w:b/>
      <w:bCs/>
      <w:color w:val="595959"/>
      <w:sz w:val="28"/>
      <w:szCs w:val="28"/>
      <w:rtl/>
    </w:rPr>
  </w:style>
  <w:style w:customStyle="1" w:styleId="BlockText" w:type="paragraph">
    <w:name w:val="Block Text"/>
    <w:basedOn w:val="BodyText"/>
    <w:next w:val="BodyText"/>
    <w:qFormat/>
    <w:pPr>
      <w:pBdr>
        <w:right w:color="1E6B52" w:space="10" w:sz="36" w:val="single"/>
      </w:pBdr>
      <w:shd w:color="auto" w:fill="EEF2F7" w:val="clear"/>
      <w:bidi/>
      <w:spacing w:after="160" w:before="160" w:line="276" w:lineRule="auto"/>
      <w:ind w:left="200" w:right="200"/>
      <w:jc w:val="both"/>
    </w:pPr>
    <w:rPr>
      <w:color w:val="1A1A1A"/>
      <w:rtl/>
    </w:rPr>
  </w:style>
  <w:style w:customStyle="1" w:styleId="Title" w:type="paragraph">
    <w:name w:val="Title"/>
    <w:basedOn w:val="Normal"/>
    <w:next w:val="BodyText"/>
    <w:qFormat/>
    <w:pPr>
      <w:bidi/>
      <w:spacing w:after="200" w:line="240" w:lineRule="auto"/>
      <w:jc w:val="center"/>
    </w:pPr>
    <w:rPr>
      <w:b/>
      <w:bCs/>
      <w:color w:val="1F3864"/>
      <w:sz w:val="68"/>
      <w:szCs w:val="68"/>
      <w:rtl/>
    </w:rPr>
  </w:style>
  <w:style w:customStyle="1" w:styleId="Subtitle" w:type="paragraph">
    <w:name w:val="Subtitle"/>
    <w:basedOn w:val="Normal"/>
    <w:next w:val="BodyText"/>
    <w:qFormat/>
    <w:pPr>
      <w:bidi/>
      <w:spacing w:line="240" w:lineRule="auto"/>
      <w:jc w:val="center"/>
    </w:pPr>
    <w:rPr>
      <w:color w:val="1E6B52"/>
      <w:sz w:val="40"/>
      <w:szCs w:val="40"/>
      <w:rtl/>
    </w:rPr>
  </w:style>
  <w:style w:customStyle="1" w:styleId="CoverKicker" w:type="paragraph">
    <w:name w:val="Cover Kicker"/>
    <w:basedOn w:val="Normal"/>
    <w:next w:val="BodyText"/>
    <w:qFormat/>
    <w:pPr>
      <w:bidi/>
      <w:spacing w:after="120" w:before="600" w:line="240" w:lineRule="auto"/>
      <w:jc w:val="center"/>
    </w:pPr>
    <w:rPr>
      <w:b/>
      <w:bCs/>
      <w:color w:val="1E6B52"/>
      <w:sz w:val="36"/>
      <w:szCs w:val="36"/>
      <w:rtl/>
    </w:rPr>
  </w:style>
  <w:style w:customStyle="1" w:styleId="CoverTitle" w:type="paragraph">
    <w:name w:val="Cover Title"/>
    <w:basedOn w:val="Normal"/>
    <w:next w:val="BodyText"/>
    <w:qFormat/>
    <w:pPr>
      <w:pBdr>
        <w:bottom w:color="9C2A2A" w:space="10" w:sz="18" w:val="single"/>
      </w:pBdr>
      <w:bidi/>
      <w:spacing w:after="120" w:before="120" w:line="240" w:lineRule="auto"/>
      <w:jc w:val="center"/>
    </w:pPr>
    <w:rPr>
      <w:b/>
      <w:bCs/>
      <w:color w:val="1F3864"/>
      <w:sz w:val="80"/>
      <w:szCs w:val="80"/>
      <w:rtl/>
    </w:rPr>
  </w:style>
  <w:style w:customStyle="1" w:styleId="CoverSubtitle" w:type="paragraph">
    <w:name w:val="Cover Subtitle"/>
    <w:basedOn w:val="Normal"/>
    <w:next w:val="BodyText"/>
    <w:qFormat/>
    <w:pPr>
      <w:bidi/>
      <w:spacing w:after="360" w:before="240" w:line="240" w:lineRule="auto"/>
      <w:jc w:val="center"/>
    </w:pPr>
    <w:rPr>
      <w:color w:val="595959"/>
      <w:sz w:val="44"/>
      <w:szCs w:val="44"/>
      <w:rtl/>
    </w:rPr>
  </w:style>
  <w:style w:customStyle="1" w:styleId="CoverCenter" w:type="paragraph">
    <w:name w:val="Cover Center"/>
    <w:basedOn w:val="Normal"/>
    <w:next w:val="BodyText"/>
    <w:qFormat/>
    <w:pPr>
      <w:bidi/>
      <w:spacing w:after="200" w:before="200" w:line="240" w:lineRule="auto"/>
      <w:jc w:val="center"/>
    </w:pPr>
    <w:rPr>
      <w:rtl/>
    </w:rPr>
  </w:style>
  <w:style w:customStyle="1" w:styleId="CoverDate" w:type="paragraph">
    <w:name w:val="Cover Date"/>
    <w:basedOn w:val="Normal"/>
    <w:next w:val="BodyText"/>
    <w:qFormat/>
    <w:pPr>
      <w:bidi/>
      <w:spacing w:after="0" w:before="360" w:line="240" w:lineRule="auto"/>
      <w:jc w:val="center"/>
    </w:pPr>
    <w:rPr>
      <w:b/>
      <w:bCs/>
      <w:color w:val="1F3864"/>
      <w:sz w:val="36"/>
      <w:szCs w:val="36"/>
      <w:rtl/>
    </w:rPr>
  </w:style>
  <w:style w:customStyle="1" w:styleId="CoverNote" w:type="paragraph">
    <w:name w:val="Cover Note"/>
    <w:basedOn w:val="Normal"/>
    <w:next w:val="BodyText"/>
    <w:qFormat/>
    <w:pPr>
      <w:bidi/>
      <w:spacing w:before="120" w:line="240" w:lineRule="auto"/>
      <w:jc w:val="center"/>
    </w:pPr>
    <w:rPr>
      <w:color w:val="595959"/>
      <w:sz w:val="32"/>
      <w:szCs w:val="32"/>
      <w:rtl/>
    </w:rPr>
  </w:style>
  <w:style w:customStyle="1" w:styleId="FigureCaption" w:type="paragraph">
    <w:name w:val="Figure Caption"/>
    <w:basedOn w:val="Normal"/>
    <w:next w:val="BodyText"/>
    <w:qFormat/>
    <w:pPr>
      <w:bidi/>
      <w:spacing w:after="240" w:before="60" w:line="240" w:lineRule="auto"/>
      <w:jc w:val="center"/>
    </w:pPr>
    <w:rPr>
      <w:i/>
      <w:iCs/>
      <w:color w:val="595959"/>
      <w:sz w:val="24"/>
      <w:szCs w:val="24"/>
      <w:rtl/>
    </w:rPr>
  </w:style>
  <w:style w:customStyle="1" w:styleId="CardHeading" w:type="paragraph">
    <w:name w:val="Card Heading"/>
    <w:basedOn w:val="Normal"/>
    <w:next w:val="BodyText"/>
    <w:qFormat/>
    <w:pPr>
      <w:bidi/>
      <w:spacing w:after="240" w:before="0" w:line="240" w:lineRule="auto"/>
      <w:jc w:val="center"/>
    </w:pPr>
    <w:rPr>
      <w:b/>
      <w:bCs/>
      <w:color w:val="1F3864"/>
      <w:sz w:val="40"/>
      <w:szCs w:val="40"/>
      <w:rtl/>
    </w:rPr>
  </w:style>
  <w:style w:customStyle="1" w:styleId="TOCHeading" w:type="paragraph">
    <w:name w:val="TOC Heading"/>
    <w:basedOn w:val="Normal"/>
    <w:next w:val="BodyText"/>
    <w:qFormat/>
    <w:pPr>
      <w:pBdr>
        <w:bottom w:color="1F3864" w:space="6" w:sz="12" w:val="single"/>
      </w:pBdr>
      <w:bidi/>
      <w:spacing w:after="300" w:line="240" w:lineRule="auto"/>
      <w:jc w:val="center"/>
    </w:pPr>
    <w:rPr>
      <w:b/>
      <w:bCs/>
      <w:color w:val="1F3864"/>
      <w:sz w:val="48"/>
      <w:szCs w:val="48"/>
      <w:rtl/>
    </w:rPr>
  </w:style>
  <w:style w:customStyle="1" w:styleId="TOC1" w:type="paragraph">
    <w:name w:val="toc 1"/>
    <w:basedOn w:val="Normal"/>
    <w:next w:val="BodyText"/>
    <w:qFormat/>
    <w:pPr>
      <w:tabs>
        <w:tab w:leader="dot" w:pos="9350" w:val="right"/>
      </w:tabs>
      <w:bidi/>
      <w:spacing w:after="40" w:before="120" w:line="240" w:lineRule="auto"/>
    </w:pPr>
    <w:rPr>
      <w:b/>
      <w:bCs/>
      <w:color w:val="1F3864"/>
      <w:sz w:val="28"/>
      <w:szCs w:val="28"/>
      <w:rtl/>
    </w:rPr>
  </w:style>
  <w:style w:customStyle="1" w:styleId="TOC2" w:type="paragraph">
    <w:name w:val="toc 2"/>
    <w:basedOn w:val="Normal"/>
    <w:next w:val="BodyText"/>
    <w:qFormat/>
    <w:pPr>
      <w:tabs>
        <w:tab w:leader="dot" w:pos="9350" w:val="right"/>
      </w:tabs>
      <w:bidi/>
      <w:spacing w:after="0" w:before="0" w:line="240" w:lineRule="auto"/>
      <w:ind w:right="360"/>
    </w:pPr>
    <w:rPr>
      <w:sz w:val="23"/>
      <w:szCs w:val="23"/>
      <w:rtl/>
    </w:rPr>
  </w:style>
  <w:style w:customStyle="1" w:styleId="Header" w:type="paragraph">
    <w:name w:val="header"/>
    <w:basedOn w:val="Normal"/>
    <w:next w:val="BodyText"/>
    <w:qFormat/>
    <w:pPr>
      <w:pBdr>
        <w:bottom w:color="BFC7D5" w:space="4" w:sz="4" w:val="single"/>
      </w:pBdr>
      <w:bidi/>
      <w:spacing w:after="0" w:line="240" w:lineRule="auto"/>
      <w:jc w:val="center"/>
    </w:pPr>
    <w:rPr>
      <w:color w:val="595959"/>
      <w:sz w:val="21"/>
      <w:szCs w:val="21"/>
      <w:rtl/>
    </w:rPr>
  </w:style>
  <w:style w:customStyle="1" w:styleId="Footer" w:type="paragraph">
    <w:name w:val="footer"/>
    <w:basedOn w:val="Normal"/>
    <w:next w:val="BodyText"/>
    <w:qFormat/>
    <w:pPr>
      <w:bidi/>
      <w:spacing w:after="0" w:line="240" w:lineRule="auto"/>
      <w:jc w:val="center"/>
    </w:pPr>
    <w:rPr>
      <w:color w:val="1F3864"/>
      <w:sz w:val="22"/>
      <w:szCs w:val="22"/>
      <w:rtl/>
    </w:rPr>
  </w:style>
  <w:style w:customStyle="1" w:styleId="FootnoteText" w:type="paragraph">
    <w:name w:val="footnote text"/>
    <w:basedOn w:val="Normal"/>
    <w:next w:val="BodyText"/>
    <w:qFormat/>
    <w:pPr>
      <w:bidi/>
      <w:spacing w:after="0" w:line="240" w:lineRule="auto"/>
    </w:pPr>
    <w:rPr>
      <w:sz w:val="22"/>
      <w:szCs w:val="22"/>
      <w:rtl/>
    </w:rPr>
  </w:style>
  <w:style w:customStyle="1" w:styleId="Caption" w:type="paragraph">
    <w:name w:val="caption"/>
    <w:basedOn w:val="Normal"/>
    <w:next w:val="BodyText"/>
    <w:qFormat/>
    <w:pPr>
      <w:bidi/>
      <w:spacing w:line="240" w:lineRule="auto"/>
      <w:jc w:val="center"/>
    </w:pPr>
    <w:rPr>
      <w:i/>
      <w:iCs/>
      <w:sz w:val="24"/>
      <w:szCs w:val="24"/>
      <w:rtl/>
    </w:rPr>
  </w:style>
  <w:style w:customStyle="1" w:styleId="TableCaption" w:type="paragraph">
    <w:name w:val="Table Caption"/>
    <w:basedOn w:val="Caption"/>
    <w:next w:val="BodyText"/>
    <w:qFormat/>
    <w:pPr>
      <w:bidi/>
      <w:spacing w:line="240" w:lineRule="auto"/>
      <w:jc w:val="center"/>
    </w:pPr>
    <w:rPr>
      <w:i/>
      <w:iCs/>
      <w:sz w:val="24"/>
      <w:szCs w:val="24"/>
      <w:rtl/>
    </w:rPr>
  </w:style>
  <w:style w:customStyle="1" w:styleId="ImageCaption" w:type="paragraph">
    <w:name w:val="Image Caption"/>
    <w:basedOn w:val="Caption"/>
    <w:next w:val="BodyText"/>
    <w:qFormat/>
    <w:pPr>
      <w:bidi/>
      <w:spacing w:line="240" w:lineRule="auto"/>
      <w:jc w:val="center"/>
    </w:pPr>
    <w:rPr>
      <w:i/>
      <w:iCs/>
      <w:sz w:val="24"/>
      <w:szCs w:val="24"/>
      <w:rtl/>
    </w:rPr>
  </w:style>
  <w:style w:customStyle="1" w:styleId="Figure" w:type="paragraph">
    <w:name w:val="Figure"/>
    <w:basedOn w:val="Normal"/>
    <w:next w:val="BodyText"/>
    <w:qFormat/>
    <w:pPr>
      <w:bidi/>
      <w:spacing w:line="240" w:lineRule="auto"/>
      <w:jc w:val="center"/>
    </w:pPr>
    <w:rPr>
      <w:rtl/>
    </w:rPr>
  </w:style>
  <w:style w:customStyle="1" w:styleId="CaptionedFigure" w:type="paragraph">
    <w:name w:val="Captioned Figure"/>
    <w:basedOn w:val="Figure"/>
    <w:next w:val="BodyText"/>
    <w:qFormat/>
    <w:pPr>
      <w:bidi/>
      <w:spacing w:line="240" w:lineRule="auto"/>
      <w:jc w:val="center"/>
    </w:pPr>
    <w:rPr>
      <w:rtl/>
    </w:rPr>
  </w:style>
  <w:style w:default="1" w:styleId="DefaultParagraphFont" w:type="character">
    <w:name w:val="Default Paragraph Font"/>
    <w:uiPriority w:val="1"/>
    <w:semiHidden/>
  </w:style>
  <w:style w:customStyle="1" w:styleId="BodyTextChar" w:type="character">
    <w:name w:val="Body Text Char"/>
    <w:basedOn w:val="DefaultParagraphFont"/>
  </w:style>
  <w:style w:customStyle="1" w:styleId="VerbatimChar" w:type="character">
    <w:name w:val="Verbatim Char"/>
    <w:rPr>
      <w:rFonts w:ascii="Consolas" w:hAnsi="Consolas"/>
    </w:rPr>
  </w:style>
  <w:style w:styleId="FootnoteReference" w:type="character">
    <w:name w:val="footnote reference"/>
    <w:rPr>
      <w:vertAlign w:val="superscript"/>
    </w:rPr>
  </w:style>
  <w:style w:styleId="Hyperlink" w:type="character">
    <w:name w:val="Hyperlink"/>
    <w:rPr>
      <w:color w:val="1E6B52"/>
      <w:u w:val="single"/>
    </w:rPr>
  </w:style>
  <w:style w:default="1" w:styleId="Table" w:type="table">
    <w:name w:val="Table"/>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firstRow">
      <w:rPr>
        <w:b/>
        <w:bCs/>
        <w:color w:val="FFFFFF"/>
      </w:rPr>
      <w:tblPr/>
      <w:trPr>
        <w:tblHeader/>
      </w:trPr>
      <w:tcPr>
        <w:shd w:color="auto" w:fill="1F3864" w:val="clear"/>
      </w:tcPr>
    </w:tblStylePr>
    <w:tblStylePr w:type="band2Horz">
      <w:tblPr/>
      <w:tcPr>
        <w:shd w:color="auto" w:fill="F4F6F9" w:val="clear"/>
      </w:tcPr>
    </w:tblStylePr>
  </w:style>
  <w:style w:styleId="TablePlain" w:type="table">
    <w:name w:val="Table Plain"/>
    <w:uiPriority w:val="59"/>
    <w:pPr>
      <w:spacing w:after="40" w:before="40" w:line="240" w:lineRule="auto"/>
      <w:jc w:val="left"/>
    </w:pPr>
    <w:rPr>
      <w:sz w:val="23"/>
      <w:szCs w:val="23"/>
    </w:rPr>
    <w:tblPr>
      <w:bidiVisual/>
      <w:tblStyleRowBandSize w:val="1"/>
      <w:jc w:val="center"/>
      <w:tblBorders>
        <w:top w:color="BFC7D5" w:space="0" w:sz="4" w:val="single"/>
        <w:left w:color="BFC7D5" w:space="0" w:sz="4" w:val="single"/>
        <w:bottom w:color="1F3864" w:space="0" w:sz="8" w:val="single"/>
        <w:right w:color="BFC7D5" w:space="0" w:sz="4" w:val="single"/>
        <w:insideH w:color="BFC7D5" w:space="0" w:sz="4" w:val="single"/>
        <w:insideV w:color="BFC7D5" w:space="0" w:sz="4" w:val="single"/>
      </w:tblBorders>
      <w:tblCellMar>
        <w:top w:type="dxa" w:w="50"/>
        <w:left w:type="dxa" w:w="100"/>
        <w:bottom w:type="dxa" w:w="50"/>
        <w:right w:type="dxa" w:w="100"/>
      </w:tblCellMar>
    </w:tblPr>
    <w:tblStylePr w:type="band2Horz">
      <w:tblPr/>
      <w:tcPr>
        <w:shd w:color="auto" w:fill="F4F6F9"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Hdr1" Type="http://schemas.openxmlformats.org/officeDocument/2006/relationships/header" Target="header1.xml"/><Relationship Id="rIdFtr1"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xsi="http://www.w3.org/2001/XMLSchema-instance">
  <dc:title>عهد جديد — طريق السودان إلى السلم والتعافي الوطني والنهضة</dc:title>
  <dc:creator>عادل عبد العاطي</dc:creator>
  <cp:lastModifiedBy>عادل عبد العاطي</cp:lastModifiedBy>
  <dc:subject>رؤية وبرنامج سياسي 2027–2034</dc:subject>
  <dc:language>ar-SD</dc:language>
  <dcterms:created xsi:type="dcterms:W3CDTF">2026-09-18T00:00:00Z</dcterms:created>
  <dcterms:modified xsi:type="dcterms:W3CDTF">2026-09-18T00:00:00Z</dcterms:modified>
</cp:coreProperties>
</file>