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الورقة الاقتصادية</w:t>
      </w:r>
    </w:p>
    <w:p>
      <w:pPr>
        <w:pStyle w:val="CoverSubtitle"/>
        <w:bidi/>
      </w:pPr>
      <w:r>
        <w:rPr>
          <w:rtl/>
        </w:rPr>
        <w:t xml:space="preserve">الإطار الاقتصادي والمالي للرؤية 2027–2034</w:t>
      </w:r>
    </w:p>
    <w:p>
      <w:pPr>
        <w:pStyle w:val="CoverNote"/>
        <w:bidi/>
      </w:pPr>
      <w:r>
        <w:rPr>
          <w:rtl/>
        </w:rPr>
        <w:t xml:space="preserve">الإصدار الثاني، ورقة تفصيلية 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(ورقة تفصيلية من المستوى الثالث لرؤية «عهد جديد». الإصدار الثاني، معدّل وموسّع بعد تقييم خارجي متخصص. تفصّل الإطار الاقتصادي والمالي الذي تقوم عليه الرؤية، وتعرض سيناريوهاته وافتراضاته وأرقامه ومصادرها، وتُطرح للنقاش المتخصص.)</w:t>
      </w:r>
    </w:p>
    <w:p>
      <w:pPr>
        <w:bidi/>
      </w:pPr>
      <w:r>
        <w:rPr>
          <w:rtl/>
        </w:rPr>
        <w:br w:type="page"/>
      </w:r>
    </w:p>
    <w:bookmarkEnd w:id="20"/>
    <w:bookmarkStart w:id="24" w:name="أولا-الغرض-والمنهج"/>
    <w:p>
      <w:pPr>
        <w:pStyle w:val="Heading1"/>
        <w:bidi/>
      </w:pPr>
      <w:r>
        <w:rPr>
          <w:rtl/>
        </w:rPr>
        <w:t xml:space="preserve">أولاً: الغرض والمنهج</w:t>
      </w:r>
    </w:p>
    <w:p>
      <w:pPr>
        <w:pStyle w:val="FirstParagraph"/>
        <w:bidi/>
      </w:pPr>
      <w:r>
        <w:rPr>
          <w:rtl/>
        </w:rPr>
        <w:t xml:space="preserve">تجيب هذه الورقة عن سؤال واحد:</w:t>
      </w:r>
      <w:r>
        <w:rPr>
          <w:rtl/>
        </w:rPr>
        <w:t xml:space="preserve"> </w:t>
      </w:r>
      <w:r>
        <w:rPr>
          <w:b/>
          <w:bCs/>
          <w:rtl/>
        </w:rPr>
        <w:t xml:space="preserve">هل يستطيع الاقتصاد السوداني أن يحمل ما تطرحه رؤية «عهد جديد»، وبأي شروط؟</w:t>
      </w:r>
      <w:r>
        <w:rPr>
          <w:rtl/>
        </w:rPr>
        <w:t xml:space="preserve"> </w:t>
      </w:r>
      <w:r>
        <w:rPr>
          <w:rtl/>
        </w:rPr>
        <w:t xml:space="preserve">ولذلك لا تكتفي بالأهداف، وإنما تعرض الافتراضات التي تقوم عليها، والسيناريوهات البديلة، والقيود المالية والخارجية، والمخاطر، ومصدر كل رقم.</w:t>
      </w:r>
    </w:p>
    <w:bookmarkStart w:id="21" w:name="أربعة-أنواع-من-الأرقام"/>
    <w:p>
      <w:pPr>
        <w:pStyle w:val="Heading2"/>
        <w:bidi/>
      </w:pPr>
      <w:r>
        <w:rPr>
          <w:rtl/>
        </w:rPr>
        <w:t xml:space="preserve">أربعة أنواع من الأرقام</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النوع</w:t>
            </w:r>
          </w:p>
        </w:tc>
        <w:tc>
          <w:tcPr/>
          <w:p>
            <w:pPr>
              <w:pStyle w:val="Compact"/>
              <w:bidi/>
              <w:jc w:val="left"/>
            </w:pPr>
            <w:r>
              <w:rPr>
                <w:rtl/>
              </w:rPr>
              <w:t xml:space="preserve">المعنى</w:t>
            </w:r>
          </w:p>
        </w:tc>
        <w:tc>
          <w:tcPr/>
          <w:p>
            <w:pPr>
              <w:pStyle w:val="Compact"/>
              <w:bidi/>
              <w:jc w:val="left"/>
            </w:pPr>
            <w:r>
              <w:rPr>
                <w:rtl/>
              </w:rPr>
              <w:t xml:space="preserve">كيف يظهر في الورقة</w:t>
            </w:r>
          </w:p>
        </w:tc>
      </w:tr>
      <w:tr>
        <w:tc>
          <w:tcPr/>
          <w:p>
            <w:pPr>
              <w:pStyle w:val="Compact"/>
              <w:bidi/>
              <w:jc w:val="left"/>
            </w:pPr>
            <w:r>
              <w:rPr>
                <w:b/>
                <w:bCs/>
                <w:rtl/>
              </w:rPr>
              <w:t xml:space="preserve">موثّق</w:t>
            </w:r>
          </w:p>
        </w:tc>
        <w:tc>
          <w:tcPr/>
          <w:p>
            <w:pPr>
              <w:pStyle w:val="Compact"/>
              <w:bidi/>
              <w:jc w:val="left"/>
            </w:pPr>
            <w:r>
              <w:rPr>
                <w:rtl/>
              </w:rPr>
              <w:t xml:space="preserve">من مصدر معلن وسنة محددة</w:t>
            </w:r>
          </w:p>
        </w:tc>
        <w:tc>
          <w:tcPr/>
          <w:p>
            <w:pPr>
              <w:pStyle w:val="Compact"/>
              <w:bidi/>
              <w:jc w:val="left"/>
            </w:pPr>
            <w:r>
              <w:rPr>
                <w:rtl/>
              </w:rPr>
              <w:t xml:space="preserve">يُذكر مصدره وسنته بجانبه</w:t>
            </w:r>
          </w:p>
        </w:tc>
      </w:tr>
      <w:tr>
        <w:tc>
          <w:tcPr/>
          <w:p>
            <w:pPr>
              <w:pStyle w:val="Compact"/>
              <w:bidi/>
              <w:jc w:val="left"/>
            </w:pPr>
            <w:r>
              <w:rPr>
                <w:b/>
                <w:bCs/>
                <w:rtl/>
              </w:rPr>
              <w:t xml:space="preserve">تقديري</w:t>
            </w:r>
          </w:p>
        </w:tc>
        <w:tc>
          <w:tcPr/>
          <w:p>
            <w:pPr>
              <w:pStyle w:val="Compact"/>
              <w:bidi/>
              <w:jc w:val="left"/>
            </w:pPr>
            <w:r>
              <w:rPr>
                <w:rtl/>
              </w:rPr>
              <w:t xml:space="preserve">لا تتوفر له بيانات رسمية موثوقة</w:t>
            </w:r>
          </w:p>
        </w:tc>
        <w:tc>
          <w:tcPr/>
          <w:p>
            <w:pPr>
              <w:pStyle w:val="Compact"/>
              <w:bidi/>
              <w:jc w:val="left"/>
            </w:pPr>
            <w:r>
              <w:rPr>
                <w:rtl/>
              </w:rPr>
              <w:t xml:space="preserve">يُسبق بكلمة «نحو» أو «يُقدَّر»، ويُذكر مصدره ومنهجه في جدول المصادر (الملحق الأول)</w:t>
            </w:r>
          </w:p>
        </w:tc>
      </w:tr>
      <w:tr>
        <w:tc>
          <w:tcPr/>
          <w:p>
            <w:pPr>
              <w:pStyle w:val="Compact"/>
              <w:bidi/>
              <w:jc w:val="left"/>
            </w:pPr>
            <w:r>
              <w:rPr>
                <w:b/>
                <w:bCs/>
                <w:rtl/>
              </w:rPr>
              <w:t xml:space="preserve">هدف</w:t>
            </w:r>
          </w:p>
        </w:tc>
        <w:tc>
          <w:tcPr/>
          <w:p>
            <w:pPr>
              <w:pStyle w:val="Compact"/>
              <w:bidi/>
              <w:jc w:val="left"/>
            </w:pPr>
            <w:r>
              <w:rPr>
                <w:rtl/>
              </w:rPr>
              <w:t xml:space="preserve">ما تسعى إليه الرؤية</w:t>
            </w:r>
          </w:p>
        </w:tc>
        <w:tc>
          <w:tcPr/>
          <w:p>
            <w:pPr>
              <w:pStyle w:val="Compact"/>
              <w:bidi/>
              <w:jc w:val="left"/>
            </w:pPr>
            <w:r>
              <w:rPr>
                <w:rtl/>
              </w:rPr>
              <w:t xml:space="preserve">يُقدَّم هدفاً مشروطاً لا توقعاً</w:t>
            </w:r>
          </w:p>
        </w:tc>
      </w:tr>
      <w:tr>
        <w:tc>
          <w:tcPr/>
          <w:p>
            <w:pPr>
              <w:pStyle w:val="Compact"/>
              <w:bidi/>
              <w:jc w:val="left"/>
            </w:pPr>
            <w:r>
              <w:rPr>
                <w:b/>
                <w:bCs/>
                <w:rtl/>
              </w:rPr>
              <w:t xml:space="preserve">مشروط</w:t>
            </w:r>
          </w:p>
        </w:tc>
        <w:tc>
          <w:tcPr/>
          <w:p>
            <w:pPr>
              <w:pStyle w:val="Compact"/>
              <w:bidi/>
              <w:jc w:val="left"/>
            </w:pPr>
            <w:r>
              <w:rPr>
                <w:rtl/>
              </w:rPr>
              <w:t xml:space="preserve">يتوقف تحققه على شرط خارجي (السلام، التمويل، الإعفاء)</w:t>
            </w:r>
          </w:p>
        </w:tc>
        <w:tc>
          <w:tcPr/>
          <w:p>
            <w:pPr>
              <w:pStyle w:val="Compact"/>
              <w:bidi/>
              <w:jc w:val="left"/>
            </w:pPr>
            <w:r>
              <w:rPr>
                <w:rtl/>
              </w:rPr>
              <w:t xml:space="preserve">يُذكر الشرط صراحة</w:t>
            </w:r>
          </w:p>
        </w:tc>
      </w:tr>
    </w:tbl>
    <w:bookmarkEnd w:id="21"/>
    <w:bookmarkStart w:id="22" w:name="سنة-الأساس-والأسعار"/>
    <w:p>
      <w:pPr>
        <w:pStyle w:val="Heading2"/>
        <w:bidi/>
      </w:pPr>
      <w:r>
        <w:rPr>
          <w:rtl/>
        </w:rPr>
        <w:t xml:space="preserve">سنة الأساس والأسعار</w:t>
      </w:r>
    </w:p>
    <w:p>
      <w:pPr>
        <w:pStyle w:val="FirstParagraph"/>
        <w:bidi/>
      </w:pPr>
      <w:r>
        <w:rPr>
          <w:rtl/>
        </w:rPr>
        <w:t xml:space="preserve">تُستخدم قيمة</w:t>
      </w:r>
      <w:r>
        <w:rPr>
          <w:rtl/>
        </w:rPr>
        <w:t xml:space="preserve"> </w:t>
      </w:r>
      <w:r>
        <w:rPr>
          <w:b/>
          <w:bCs/>
          <w:rtl/>
        </w:rPr>
        <w:t xml:space="preserve">الناتج المحلي الإجمالي لعام 2025، البالغة نحو 60.2 مليار دولار بالقيمة الجارية</w:t>
      </w:r>
      <w:r>
        <w:rPr>
          <w:rtl/>
        </w:rPr>
        <w:t xml:space="preserve"> </w:t>
      </w:r>
      <w:r>
        <w:rPr>
          <w:rtl/>
        </w:rPr>
        <w:t xml:space="preserve">(البنك الدولي)، نقطةَ أساس مقومة بالدولار. ثم</w:t>
      </w:r>
      <w:r>
        <w:rPr>
          <w:rtl/>
        </w:rPr>
        <w:t xml:space="preserve"> </w:t>
      </w:r>
      <w:r>
        <w:rPr>
          <w:b/>
          <w:bCs/>
          <w:rtl/>
        </w:rPr>
        <w:t xml:space="preserve">تُسقط القيم المستقبلية باستخدام معدلات النمو الحقيقي، وبأسعار 2025 الثابتة</w:t>
      </w:r>
      <w:r>
        <w:rPr>
          <w:rtl/>
        </w:rPr>
        <w:t xml:space="preserve">، لأغراض المقارنة. أي أن أرقام السنوات القادمة لا تحتسب التضخم ولا تغيرات سعر الصرف، وإنما تقيس الحجم الحقيقي للاقتصاد. ولعام 2026 تعتمد الورقة توقع البنك الدولي بنمو قدره 5.5%، فيكون الناتج نحو</w:t>
      </w:r>
      <w:r>
        <w:rPr>
          <w:rtl/>
        </w:rPr>
        <w:t xml:space="preserve"> </w:t>
      </w:r>
      <w:r>
        <w:rPr>
          <w:b/>
          <w:bCs/>
          <w:rtl/>
        </w:rPr>
        <w:t xml:space="preserve">63.5 مليار دولار</w:t>
      </w:r>
      <w:r>
        <w:rPr>
          <w:rtl/>
        </w:rPr>
        <w:t xml:space="preserve">، ومنه تبدأ حسابات أفق الرؤية (2027–2034).</w:t>
      </w:r>
    </w:p>
    <w:p>
      <w:pPr>
        <w:pStyle w:val="BodyText"/>
        <w:bidi/>
      </w:pPr>
      <w:r>
        <w:rPr>
          <w:b/>
          <w:bCs/>
          <w:rtl/>
        </w:rPr>
        <w:t xml:space="preserve">والمصطلح المستخدم في الورقة هو الناتج المحلي الإجمالي</w:t>
      </w:r>
      <w:r>
        <w:rPr>
          <w:rtl/>
        </w:rPr>
        <w:t xml:space="preserve">، لا الدخل القومي، لأن الحسابات كلها مبنية عليه.</w:t>
      </w:r>
    </w:p>
    <w:bookmarkEnd w:id="22"/>
    <w:bookmarkStart w:id="23" w:name="حدود-الإطار"/>
    <w:p>
      <w:pPr>
        <w:pStyle w:val="Heading2"/>
        <w:bidi/>
      </w:pPr>
      <w:r>
        <w:rPr>
          <w:rtl/>
        </w:rPr>
        <w:t xml:space="preserve">حدود الإطار</w:t>
      </w:r>
    </w:p>
    <w:p>
      <w:pPr>
        <w:pStyle w:val="FirstParagraph"/>
        <w:bidi/>
      </w:pPr>
      <w:r>
        <w:rPr>
          <w:rtl/>
        </w:rPr>
        <w:t xml:space="preserve">إن هذه الأرقام ليست نموذجاً اقتصادياً قياسياً كاملاً، وإنما</w:t>
      </w:r>
      <w:r>
        <w:rPr>
          <w:rtl/>
        </w:rPr>
        <w:t xml:space="preserve"> </w:t>
      </w:r>
      <w:r>
        <w:rPr>
          <w:b/>
          <w:bCs/>
          <w:rtl/>
        </w:rPr>
        <w:t xml:space="preserve">إطار حسابي مبسط</w:t>
      </w:r>
      <w:r>
        <w:rPr>
          <w:rtl/>
        </w:rPr>
        <w:t xml:space="preserve"> </w:t>
      </w:r>
      <w:r>
        <w:rPr>
          <w:rtl/>
        </w:rPr>
        <w:t xml:space="preserve">يوضح الأحجام والقيود والعلاقات بين المتغيرات. وطريقة حساب كل رقم مشروحة في الملحق الثالث. والنموذج الكامل من مهام وحدة التخطيط في حكومة التعافي الوطني، بعد توفر بيانات أحدث من البنك المركزي والجهاز المركزي للإحصاء.</w:t>
      </w:r>
    </w:p>
    <w:p>
      <w:pPr>
        <w:bidi/>
      </w:pPr>
      <w:r>
        <w:rPr>
          <w:rtl/>
        </w:rPr>
        <w:br w:type="page"/>
      </w:r>
    </w:p>
    <w:bookmarkEnd w:id="23"/>
    <w:bookmarkEnd w:id="24"/>
    <w:bookmarkStart w:id="28" w:name="ثانيا-التشخيص"/>
    <w:p>
      <w:pPr>
        <w:pStyle w:val="Heading1"/>
        <w:bidi/>
      </w:pPr>
      <w:r>
        <w:rPr>
          <w:rtl/>
        </w:rPr>
        <w:t xml:space="preserve">ثانياً: التشخيص</w:t>
      </w:r>
    </w:p>
    <w:bookmarkStart w:id="25" w:name="الاقتصاد-الكلي"/>
    <w:p>
      <w:pPr>
        <w:pStyle w:val="Heading2"/>
        <w:bidi/>
      </w:pPr>
      <w:r>
        <w:rPr>
          <w:rtl/>
        </w:rPr>
        <w:t xml:space="preserve">الاقتصاد الكلي</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المؤشر</w:t>
            </w:r>
          </w:p>
        </w:tc>
        <w:tc>
          <w:tcPr/>
          <w:p>
            <w:pPr>
              <w:pStyle w:val="Compact"/>
              <w:bidi/>
              <w:jc w:val="left"/>
            </w:pPr>
            <w:r>
              <w:rPr>
                <w:rtl/>
              </w:rPr>
              <w:t xml:space="preserve">القيمة</w:t>
            </w:r>
          </w:p>
        </w:tc>
        <w:tc>
          <w:tcPr/>
          <w:p>
            <w:pPr>
              <w:pStyle w:val="Compact"/>
              <w:bidi/>
              <w:jc w:val="left"/>
            </w:pPr>
            <w:r>
              <w:rPr>
                <w:rtl/>
              </w:rPr>
              <w:t xml:space="preserve">المصدر</w:t>
            </w:r>
          </w:p>
        </w:tc>
      </w:tr>
      <w:tr>
        <w:tc>
          <w:tcPr/>
          <w:p>
            <w:pPr>
              <w:pStyle w:val="Compact"/>
              <w:bidi/>
              <w:jc w:val="left"/>
            </w:pPr>
            <w:r>
              <w:rPr>
                <w:rtl/>
              </w:rPr>
              <w:t xml:space="preserve">الناتج المحلي الإجمالي 2025 (بالقيمة الجارية)</w:t>
            </w:r>
          </w:p>
        </w:tc>
        <w:tc>
          <w:tcPr/>
          <w:p>
            <w:pPr>
              <w:pStyle w:val="Compact"/>
              <w:bidi/>
              <w:jc w:val="left"/>
            </w:pPr>
            <w:r>
              <w:rPr>
                <w:rtl/>
              </w:rPr>
              <w:t xml:space="preserve">60.2 مليار دولار</w:t>
            </w:r>
          </w:p>
        </w:tc>
        <w:tc>
          <w:tcPr/>
          <w:p>
            <w:pPr>
              <w:pStyle w:val="Compact"/>
              <w:bidi/>
              <w:jc w:val="left"/>
            </w:pPr>
            <w:r>
              <w:rPr>
                <w:rtl/>
              </w:rPr>
              <w:t xml:space="preserve">البنك الدولي، أبريل 2026</w:t>
            </w:r>
          </w:p>
        </w:tc>
      </w:tr>
      <w:tr>
        <w:tc>
          <w:tcPr/>
          <w:p>
            <w:pPr>
              <w:pStyle w:val="Compact"/>
              <w:bidi/>
              <w:jc w:val="left"/>
            </w:pPr>
            <w:r>
              <w:rPr>
                <w:rtl/>
              </w:rPr>
              <w:t xml:space="preserve">النمو الحقيقي</w:t>
            </w:r>
          </w:p>
        </w:tc>
        <w:tc>
          <w:tcPr/>
          <w:p>
            <w:pPr>
              <w:pStyle w:val="Compact"/>
              <w:bidi/>
              <w:jc w:val="left"/>
            </w:pPr>
            <w:r>
              <w:rPr>
                <w:rtl/>
              </w:rPr>
              <w:t xml:space="preserve">−29.4% (2023)، −14% (2024)، +3.1% (2025)</w:t>
            </w:r>
          </w:p>
        </w:tc>
        <w:tc>
          <w:tcPr/>
          <w:p>
            <w:pPr>
              <w:pStyle w:val="Compact"/>
              <w:bidi/>
              <w:jc w:val="left"/>
            </w:pPr>
            <w:r>
              <w:rPr>
                <w:rtl/>
              </w:rPr>
              <w:t xml:space="preserve">البنك الدولي</w:t>
            </w:r>
          </w:p>
        </w:tc>
      </w:tr>
      <w:tr>
        <w:tc>
          <w:tcPr/>
          <w:p>
            <w:pPr>
              <w:pStyle w:val="Compact"/>
              <w:bidi/>
              <w:jc w:val="left"/>
            </w:pPr>
            <w:r>
              <w:rPr>
                <w:rtl/>
              </w:rPr>
              <w:t xml:space="preserve">النمو المتوقع</w:t>
            </w:r>
          </w:p>
        </w:tc>
        <w:tc>
          <w:tcPr/>
          <w:p>
            <w:pPr>
              <w:pStyle w:val="Compact"/>
              <w:bidi/>
              <w:jc w:val="left"/>
            </w:pPr>
            <w:r>
              <w:rPr>
                <w:rtl/>
              </w:rPr>
              <w:t xml:space="preserve">5.5% (2026)، 4.4% (2027)</w:t>
            </w:r>
          </w:p>
        </w:tc>
        <w:tc>
          <w:tcPr/>
          <w:p>
            <w:pPr>
              <w:pStyle w:val="Compact"/>
              <w:bidi/>
              <w:jc w:val="left"/>
            </w:pPr>
            <w:r>
              <w:rPr>
                <w:rtl/>
              </w:rPr>
              <w:t xml:space="preserve">البنك الدولي، الآفاق الاقتصادية العالمية، يونيو 2026</w:t>
            </w:r>
          </w:p>
        </w:tc>
      </w:tr>
      <w:tr>
        <w:tc>
          <w:tcPr/>
          <w:p>
            <w:pPr>
              <w:pStyle w:val="Compact"/>
              <w:bidi/>
              <w:jc w:val="left"/>
            </w:pPr>
            <w:r>
              <w:rPr>
                <w:rtl/>
              </w:rPr>
              <w:t xml:space="preserve">الإيرادات العامة</w:t>
            </w:r>
          </w:p>
        </w:tc>
        <w:tc>
          <w:tcPr/>
          <w:p>
            <w:pPr>
              <w:pStyle w:val="Compact"/>
              <w:bidi/>
              <w:jc w:val="left"/>
            </w:pPr>
            <w:r>
              <w:rPr>
                <w:rtl/>
              </w:rPr>
              <w:t xml:space="preserve">نحو 4.2% من الناتج (2025)، مقابل نحو 10% في 2022</w:t>
            </w:r>
          </w:p>
        </w:tc>
        <w:tc>
          <w:tcPr/>
          <w:p>
            <w:pPr>
              <w:pStyle w:val="Compact"/>
              <w:bidi/>
              <w:jc w:val="left"/>
            </w:pPr>
            <w:r>
              <w:rPr>
                <w:rtl/>
              </w:rPr>
              <w:t xml:space="preserve">البنك الدولي</w:t>
            </w:r>
          </w:p>
        </w:tc>
      </w:tr>
      <w:tr>
        <w:tc>
          <w:tcPr/>
          <w:p>
            <w:pPr>
              <w:pStyle w:val="Compact"/>
              <w:bidi/>
              <w:jc w:val="left"/>
            </w:pPr>
            <w:r>
              <w:rPr>
                <w:rtl/>
              </w:rPr>
              <w:t xml:space="preserve">التضخم</w:t>
            </w:r>
          </w:p>
        </w:tc>
        <w:tc>
          <w:tcPr/>
          <w:p>
            <w:pPr>
              <w:pStyle w:val="Compact"/>
              <w:bidi/>
              <w:jc w:val="left"/>
            </w:pPr>
            <w:r>
              <w:rPr>
                <w:rtl/>
              </w:rPr>
              <w:t xml:space="preserve">111.5% في المتوسط خلال 2025</w:t>
            </w:r>
          </w:p>
        </w:tc>
        <w:tc>
          <w:tcPr/>
          <w:p>
            <w:pPr>
              <w:pStyle w:val="Compact"/>
              <w:bidi/>
              <w:jc w:val="left"/>
            </w:pPr>
            <w:r>
              <w:rPr>
                <w:rtl/>
              </w:rPr>
              <w:t xml:space="preserve">البنك الدولي</w:t>
            </w:r>
          </w:p>
        </w:tc>
      </w:tr>
      <w:tr>
        <w:tc>
          <w:tcPr/>
          <w:p>
            <w:pPr>
              <w:pStyle w:val="Compact"/>
              <w:bidi/>
              <w:jc w:val="left"/>
            </w:pPr>
            <w:r>
              <w:rPr>
                <w:rtl/>
              </w:rPr>
              <w:t xml:space="preserve">الدين العام</w:t>
            </w:r>
          </w:p>
        </w:tc>
        <w:tc>
          <w:tcPr/>
          <w:p>
            <w:pPr>
              <w:pStyle w:val="Compact"/>
              <w:bidi/>
              <w:jc w:val="left"/>
            </w:pPr>
            <w:r>
              <w:rPr>
                <w:rtl/>
              </w:rPr>
              <w:t xml:space="preserve">128.5% من الناتج</w:t>
            </w:r>
          </w:p>
        </w:tc>
        <w:tc>
          <w:tcPr/>
          <w:p>
            <w:pPr>
              <w:pStyle w:val="Compact"/>
              <w:bidi/>
              <w:jc w:val="left"/>
            </w:pPr>
            <w:r>
              <w:rPr>
                <w:rtl/>
              </w:rPr>
              <w:t xml:space="preserve">البنك الدولي</w:t>
            </w:r>
          </w:p>
        </w:tc>
      </w:tr>
      <w:tr>
        <w:tc>
          <w:tcPr/>
          <w:p>
            <w:pPr>
              <w:pStyle w:val="Compact"/>
              <w:bidi/>
              <w:jc w:val="left"/>
            </w:pPr>
            <w:r>
              <w:rPr>
                <w:rtl/>
              </w:rPr>
              <w:t xml:space="preserve">الفقر المدقع</w:t>
            </w:r>
          </w:p>
        </w:tc>
        <w:tc>
          <w:tcPr/>
          <w:p>
            <w:pPr>
              <w:pStyle w:val="Compact"/>
              <w:bidi/>
              <w:jc w:val="left"/>
            </w:pPr>
            <w:r>
              <w:rPr>
                <w:rtl/>
              </w:rPr>
              <w:t xml:space="preserve">نحو 59% (2025) مقابل 48% (2023)</w:t>
            </w:r>
          </w:p>
        </w:tc>
        <w:tc>
          <w:tcPr/>
          <w:p>
            <w:pPr>
              <w:pStyle w:val="Compact"/>
              <w:bidi/>
              <w:jc w:val="left"/>
            </w:pPr>
            <w:r>
              <w:rPr>
                <w:rtl/>
              </w:rPr>
              <w:t xml:space="preserve">البنك الدولي</w:t>
            </w:r>
          </w:p>
        </w:tc>
      </w:tr>
    </w:tbl>
    <w:bookmarkEnd w:id="25"/>
    <w:bookmarkStart w:id="26" w:name="أين-نقف-مقارنة-بما-قبل-الحرب"/>
    <w:p>
      <w:pPr>
        <w:pStyle w:val="Heading2"/>
        <w:bidi/>
      </w:pPr>
      <w:r>
        <w:rPr>
          <w:rtl/>
        </w:rPr>
        <w:t xml:space="preserve">أين نقف مقارنة بما قبل الحرب؟</w:t>
      </w:r>
    </w:p>
    <w:p>
      <w:pPr>
        <w:pStyle w:val="FirstParagraph"/>
        <w:bidi/>
      </w:pPr>
      <w:r>
        <w:rPr>
          <w:rtl/>
        </w:rPr>
        <w:t xml:space="preserve">إن أهم رقم في هذا التشخيص ليس حجم الناتج اليوم، وإنما</w:t>
      </w:r>
      <w:r>
        <w:rPr>
          <w:rtl/>
        </w:rPr>
        <w:t xml:space="preserve"> </w:t>
      </w:r>
      <w:r>
        <w:rPr>
          <w:b/>
          <w:bCs/>
          <w:rtl/>
        </w:rPr>
        <w:t xml:space="preserve">حجمه مقارنة بما كان عليه قبل الحرب</w:t>
      </w:r>
      <w:r>
        <w:rPr>
          <w:rtl/>
        </w:rPr>
        <w:t xml:space="preserve">. فبتطبيق معدلات النمو الحقيقي المنشورة، يعادل ناتج 2025 نحو</w:t>
      </w:r>
      <w:r>
        <w:rPr>
          <w:rtl/>
        </w:rPr>
        <w:t xml:space="preserve"> </w:t>
      </w:r>
      <w:r>
        <w:rPr>
          <w:b/>
          <w:bCs/>
          <w:rtl/>
        </w:rPr>
        <w:t xml:space="preserve">63% فقط من مستواه الحقيقي في 2022</w:t>
      </w:r>
      <w:r>
        <w:rPr>
          <w:rtl/>
        </w:rPr>
        <w:t xml:space="preserve">. أي أن الاقتصاد فقد أكثر من ثلث حجمه. ولذلك:</w:t>
      </w:r>
    </w:p>
    <w:p>
      <w:pPr>
        <w:pStyle w:val="Compact"/>
        <w:numPr>
          <w:ilvl w:val="0"/>
          <w:numId w:val="1001"/>
        </w:numPr>
        <w:bidi/>
      </w:pPr>
      <w:r>
        <w:rPr>
          <w:b/>
          <w:bCs/>
          <w:rtl/>
        </w:rPr>
        <w:t xml:space="preserve">جزء كبير من النمو في السنوات الأولى سيكون «نمو تعافٍ»</w:t>
      </w:r>
      <w:r>
        <w:rPr>
          <w:rtl/>
        </w:rPr>
        <w:t xml:space="preserve">، أي عودة من مستوى منهار، وليس نهضة اقتصادية.</w:t>
      </w:r>
    </w:p>
    <w:p>
      <w:pPr>
        <w:pStyle w:val="Compact"/>
        <w:numPr>
          <w:ilvl w:val="0"/>
          <w:numId w:val="1001"/>
        </w:numPr>
        <w:bidi/>
      </w:pPr>
      <w:r>
        <w:rPr>
          <w:b/>
          <w:bCs/>
          <w:rtl/>
        </w:rPr>
        <w:t xml:space="preserve">المؤشر الأصدق للتقدم</w:t>
      </w:r>
      <w:r>
        <w:rPr>
          <w:rtl/>
        </w:rPr>
        <w:t xml:space="preserve"> </w:t>
      </w:r>
      <w:r>
        <w:rPr>
          <w:rtl/>
        </w:rPr>
        <w:t xml:space="preserve">هو الناتج الحقيقي كنسبة من مستوى 2022، وتعتمده الورقة مؤشراً رئيسياً.</w:t>
      </w:r>
    </w:p>
    <w:bookmarkEnd w:id="26"/>
    <w:bookmarkStart w:id="27" w:name="ثلاث-حقائق-تحكم-كل-ما-يليها"/>
    <w:p>
      <w:pPr>
        <w:pStyle w:val="Heading2"/>
        <w:bidi/>
      </w:pPr>
      <w:r>
        <w:rPr>
          <w:rtl/>
        </w:rPr>
        <w:t xml:space="preserve">ثلاث حقائق تحكم كل ما يليها</w:t>
      </w:r>
    </w:p>
    <w:p>
      <w:pPr>
        <w:pStyle w:val="FirstParagraph"/>
        <w:bidi/>
      </w:pPr>
      <w:r>
        <w:rPr>
          <w:b/>
          <w:bCs/>
          <w:rtl/>
        </w:rPr>
        <w:t xml:space="preserve">الحقيقة الأولى: الدولة شبه بلا إيرادات.</w:t>
      </w:r>
      <w:r>
        <w:rPr>
          <w:rtl/>
        </w:rPr>
        <w:t xml:space="preserve"> </w:t>
      </w:r>
      <w:r>
        <w:rPr>
          <w:rtl/>
        </w:rPr>
        <w:t xml:space="preserve">فقد انهارت الإيرادات العامة من نحو 10% من الناتج في 2022 إلى نحو 4.2% في 2025 (البنك الدولي). وهذا يعني أن الدولة لا تملك تقريباً ما تنفقه على الخدمات أو الإعمار أو حتى الرواتب بانتظام.</w:t>
      </w:r>
    </w:p>
    <w:p>
      <w:pPr>
        <w:pStyle w:val="BodyText"/>
        <w:bidi/>
      </w:pPr>
      <w:r>
        <w:rPr>
          <w:b/>
          <w:bCs/>
          <w:rtl/>
        </w:rPr>
        <w:t xml:space="preserve">الحقيقة الثانية: جزء كبير من النشاط الاقتصادي يجري خارج المنظومة الرسمية</w:t>
      </w:r>
      <w:r>
        <w:rPr>
          <w:rtl/>
        </w:rPr>
        <w:t xml:space="preserve"> </w:t>
      </w:r>
      <w:r>
        <w:rPr>
          <w:rtl/>
        </w:rPr>
        <w:t xml:space="preserve">للضرائب والمصارف والإحصاءات. فجزء كبير من الذهب لا يمر عبر القنوات الرسمية؛ وقد أشار تقرير فريق خبراء الأمم المتحدة المعني بالسودان (S/2024/65) إلى تقديرات بأن أكثر من نصفه لا يمر بها. وجزء من النشاط يجري في شركات تتبع أجهزة نظامية خارج رقابة المالية. وأغلب النقد يتداول خارج البنوك. لذلك يبدأ الإصلاح بإدخال هذا النشاط في الدائرة الرسمية، قبل أي زيادة في معدلات الضرائب.</w:t>
      </w:r>
    </w:p>
    <w:p>
      <w:pPr>
        <w:pStyle w:val="BodyText"/>
        <w:bidi/>
      </w:pPr>
      <w:r>
        <w:rPr>
          <w:b/>
          <w:bCs/>
          <w:rtl/>
        </w:rPr>
        <w:t xml:space="preserve">الحقيقة الثالثة: الحرب هي المتغير الحاكم.</w:t>
      </w:r>
      <w:r>
        <w:rPr>
          <w:rtl/>
        </w:rPr>
        <w:t xml:space="preserve"> </w:t>
      </w:r>
      <w:r>
        <w:rPr>
          <w:rtl/>
        </w:rPr>
        <w:t xml:space="preserve">فكل السيناريوهات تفترض توقف الحرب خلال الأشهر الثمانية عشر الأولى. وإذا استمرت، تتحول الأولوية إلى الإغاثة وحماية ما تبقى.</w:t>
      </w:r>
    </w:p>
    <w:p>
      <w:pPr>
        <w:bidi/>
      </w:pPr>
      <w:r>
        <w:rPr>
          <w:rtl/>
        </w:rPr>
        <w:br w:type="page"/>
      </w:r>
    </w:p>
    <w:bookmarkEnd w:id="27"/>
    <w:bookmarkEnd w:id="28"/>
    <w:bookmarkStart w:id="29" w:name="ثالثا-مراحل-التعافي"/>
    <w:p>
      <w:pPr>
        <w:pStyle w:val="Heading1"/>
        <w:bidi/>
      </w:pPr>
      <w:r>
        <w:rPr>
          <w:rtl/>
        </w:rPr>
        <w:t xml:space="preserve">ثالثاً: مراحل التعافي</w:t>
      </w:r>
    </w:p>
    <w:p>
      <w:pPr>
        <w:pStyle w:val="FirstParagraph"/>
        <w:bidi/>
      </w:pPr>
      <w:r>
        <w:rPr>
          <w:rtl/>
        </w:rPr>
        <w:t xml:space="preserve">لا يمر اقتصاد ما بعد الحرب بسنوات متشابهة، وإنما بمراحل لكل منها منطقها:</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المرحلة</w:t>
            </w:r>
          </w:p>
        </w:tc>
        <w:tc>
          <w:tcPr/>
          <w:p>
            <w:pPr>
              <w:pStyle w:val="Compact"/>
              <w:bidi/>
              <w:jc w:val="left"/>
            </w:pPr>
            <w:r>
              <w:rPr>
                <w:rtl/>
              </w:rPr>
              <w:t xml:space="preserve">السنوات</w:t>
            </w:r>
          </w:p>
        </w:tc>
        <w:tc>
          <w:tcPr/>
          <w:p>
            <w:pPr>
              <w:pStyle w:val="Compact"/>
              <w:bidi/>
              <w:jc w:val="left"/>
            </w:pPr>
            <w:r>
              <w:rPr>
                <w:rtl/>
              </w:rPr>
              <w:t xml:space="preserve">المضمون</w:t>
            </w:r>
          </w:p>
        </w:tc>
        <w:tc>
          <w:tcPr/>
          <w:p>
            <w:pPr>
              <w:pStyle w:val="Compact"/>
              <w:bidi/>
              <w:jc w:val="left"/>
            </w:pPr>
            <w:r>
              <w:rPr>
                <w:rtl/>
              </w:rPr>
              <w:t xml:space="preserve">النمو المتوقع في السيناريو المعتدل</w:t>
            </w:r>
          </w:p>
        </w:tc>
      </w:tr>
      <w:tr>
        <w:tc>
          <w:tcPr/>
          <w:p>
            <w:pPr>
              <w:pStyle w:val="Compact"/>
              <w:bidi/>
              <w:jc w:val="left"/>
            </w:pPr>
            <w:r>
              <w:rPr>
                <w:b/>
                <w:bCs/>
                <w:rtl/>
              </w:rPr>
              <w:t xml:space="preserve">الاستقرار</w:t>
            </w:r>
          </w:p>
        </w:tc>
        <w:tc>
          <w:tcPr/>
          <w:p>
            <w:pPr>
              <w:pStyle w:val="Compact"/>
              <w:bidi/>
              <w:jc w:val="left"/>
            </w:pPr>
            <w:r>
              <w:rPr>
                <w:rtl/>
              </w:rPr>
              <w:t xml:space="preserve">2027–2028</w:t>
            </w:r>
          </w:p>
        </w:tc>
        <w:tc>
          <w:tcPr/>
          <w:p>
            <w:pPr>
              <w:pStyle w:val="Compact"/>
              <w:bidi/>
              <w:jc w:val="left"/>
            </w:pPr>
            <w:r>
              <w:rPr>
                <w:rtl/>
              </w:rPr>
              <w:t xml:space="preserve">الإغاثة، ووقف الانهيار، واستعادة الخدمات، وانتظام الرواتب</w:t>
            </w:r>
          </w:p>
        </w:tc>
        <w:tc>
          <w:tcPr/>
          <w:p>
            <w:pPr>
              <w:pStyle w:val="Compact"/>
              <w:bidi/>
              <w:jc w:val="left"/>
            </w:pPr>
            <w:r>
              <w:rPr>
                <w:rtl/>
              </w:rPr>
              <w:t xml:space="preserve">4.5% تقريباً في 2027 (قريب من توقع البنك الدولي البالغ 4.4%)، ونحو 5.5% في 2028</w:t>
            </w:r>
          </w:p>
        </w:tc>
      </w:tr>
      <w:tr>
        <w:tc>
          <w:tcPr/>
          <w:p>
            <w:pPr>
              <w:pStyle w:val="Compact"/>
              <w:bidi/>
              <w:jc w:val="left"/>
            </w:pPr>
            <w:r>
              <w:rPr>
                <w:b/>
                <w:bCs/>
                <w:rtl/>
              </w:rPr>
              <w:t xml:space="preserve">التعافي</w:t>
            </w:r>
          </w:p>
        </w:tc>
        <w:tc>
          <w:tcPr/>
          <w:p>
            <w:pPr>
              <w:pStyle w:val="Compact"/>
              <w:bidi/>
              <w:jc w:val="left"/>
            </w:pPr>
            <w:r>
              <w:rPr>
                <w:rtl/>
              </w:rPr>
              <w:t xml:space="preserve">2029–2031</w:t>
            </w:r>
          </w:p>
        </w:tc>
        <w:tc>
          <w:tcPr/>
          <w:p>
            <w:pPr>
              <w:pStyle w:val="Compact"/>
              <w:bidi/>
              <w:jc w:val="left"/>
            </w:pPr>
            <w:r>
              <w:rPr>
                <w:rtl/>
              </w:rPr>
              <w:t xml:space="preserve">عودة الإنتاج الزراعي والتعدين والخدمات، وعودة السكان، والإعمار</w:t>
            </w:r>
          </w:p>
        </w:tc>
        <w:tc>
          <w:tcPr/>
          <w:p>
            <w:pPr>
              <w:pStyle w:val="Compact"/>
              <w:bidi/>
              <w:jc w:val="left"/>
            </w:pPr>
            <w:r>
              <w:rPr>
                <w:rtl/>
              </w:rPr>
              <w:t xml:space="preserve">نحو 7% سنوياً، مدفوعاً بأثر العودة من مستوى منخفض</w:t>
            </w:r>
          </w:p>
        </w:tc>
      </w:tr>
      <w:tr>
        <w:tc>
          <w:tcPr/>
          <w:p>
            <w:pPr>
              <w:pStyle w:val="Compact"/>
              <w:bidi/>
              <w:jc w:val="left"/>
            </w:pPr>
            <w:r>
              <w:rPr>
                <w:b/>
                <w:bCs/>
                <w:rtl/>
              </w:rPr>
              <w:t xml:space="preserve">التحول</w:t>
            </w:r>
          </w:p>
        </w:tc>
        <w:tc>
          <w:tcPr/>
          <w:p>
            <w:pPr>
              <w:pStyle w:val="Compact"/>
              <w:bidi/>
              <w:jc w:val="left"/>
            </w:pPr>
            <w:r>
              <w:rPr>
                <w:rtl/>
              </w:rPr>
              <w:t xml:space="preserve">2032–2034</w:t>
            </w:r>
          </w:p>
        </w:tc>
        <w:tc>
          <w:tcPr/>
          <w:p>
            <w:pPr>
              <w:pStyle w:val="Compact"/>
              <w:bidi/>
              <w:jc w:val="left"/>
            </w:pPr>
            <w:r>
              <w:rPr>
                <w:rtl/>
              </w:rPr>
              <w:t xml:space="preserve">نمو هيكلي بالاستثمار والإنتاجية والتصنيع الزراعي والطاقة</w:t>
            </w:r>
          </w:p>
        </w:tc>
        <w:tc>
          <w:tcPr/>
          <w:p>
            <w:pPr>
              <w:pStyle w:val="Compact"/>
              <w:bidi/>
              <w:jc w:val="left"/>
            </w:pPr>
            <w:r>
              <w:rPr>
                <w:rtl/>
              </w:rPr>
              <w:t xml:space="preserve">نحو 6% سنوياً</w:t>
            </w:r>
          </w:p>
        </w:tc>
      </w:tr>
    </w:tbl>
    <w:p>
      <w:pPr>
        <w:pStyle w:val="BodyText"/>
        <w:bidi/>
      </w:pPr>
      <w:r>
        <w:rPr>
          <w:b/>
          <w:bCs/>
          <w:rtl/>
        </w:rPr>
        <w:t xml:space="preserve">ومتوسط هذا المسار نحو 6.1% سنوياً</w:t>
      </w:r>
      <w:r>
        <w:rPr>
          <w:rtl/>
        </w:rPr>
        <w:t xml:space="preserve">، وهو يعطي ناتجاً قدره نحو 102 مليار دولار في 2034، أي قريباً جداً من السيناريو المعتدل بمعدل ثابت (6%). لذلك تستخدم الجداول التالية المعدل الثابت للتبسيط، مع إدراك أن النمو الفعلي سيكون أبطأ في البداية وأسرع في الوسط.</w:t>
      </w:r>
    </w:p>
    <w:p>
      <w:pPr>
        <w:bidi/>
      </w:pPr>
      <w:r>
        <w:rPr>
          <w:rtl/>
        </w:rPr>
        <w:br w:type="page"/>
      </w:r>
    </w:p>
    <w:bookmarkEnd w:id="29"/>
    <w:bookmarkStart w:id="35" w:name="رابعا-الإطار-الكلي-20272034"/>
    <w:p>
      <w:pPr>
        <w:pStyle w:val="Heading1"/>
        <w:bidi/>
      </w:pPr>
      <w:r>
        <w:rPr>
          <w:rtl/>
        </w:rPr>
        <w:t xml:space="preserve">رابعاً: الإطار الكلي 2027–2034</w:t>
      </w:r>
    </w:p>
    <w:bookmarkStart w:id="30" w:name="ثلاثة-سيناريوهات"/>
    <w:p>
      <w:pPr>
        <w:pStyle w:val="Heading2"/>
        <w:bidi/>
      </w:pPr>
      <w:r>
        <w:rPr>
          <w:rtl/>
        </w:rPr>
        <w:t xml:space="preserve">ثلاثة سيناريوهات</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الافتراض</w:t>
            </w:r>
          </w:p>
        </w:tc>
        <w:tc>
          <w:tcPr/>
          <w:p>
            <w:pPr>
              <w:pStyle w:val="Compact"/>
              <w:bidi/>
              <w:jc w:val="left"/>
            </w:pPr>
            <w:r>
              <w:rPr>
                <w:rtl/>
              </w:rPr>
              <w:t xml:space="preserve">المتحفظ</w:t>
            </w:r>
          </w:p>
        </w:tc>
        <w:tc>
          <w:tcPr/>
          <w:p>
            <w:pPr>
              <w:pStyle w:val="Compact"/>
              <w:bidi/>
              <w:jc w:val="left"/>
            </w:pPr>
            <w:r>
              <w:rPr>
                <w:rtl/>
              </w:rPr>
              <w:t xml:space="preserve">المعتدل (أساس الموازنة)</w:t>
            </w:r>
          </w:p>
        </w:tc>
        <w:tc>
          <w:tcPr/>
          <w:p>
            <w:pPr>
              <w:pStyle w:val="Compact"/>
              <w:bidi/>
              <w:jc w:val="left"/>
            </w:pPr>
            <w:r>
              <w:rPr>
                <w:rtl/>
              </w:rPr>
              <w:t xml:space="preserve">الطموح (هدف الرؤية)</w:t>
            </w:r>
          </w:p>
        </w:tc>
      </w:tr>
      <w:tr>
        <w:tc>
          <w:tcPr/>
          <w:p>
            <w:pPr>
              <w:pStyle w:val="Compact"/>
              <w:bidi/>
              <w:jc w:val="left"/>
            </w:pPr>
            <w:r>
              <w:rPr>
                <w:rtl/>
              </w:rPr>
              <w:t xml:space="preserve">متوسط النمو الحقيقي السنوي</w:t>
            </w:r>
          </w:p>
        </w:tc>
        <w:tc>
          <w:tcPr/>
          <w:p>
            <w:pPr>
              <w:pStyle w:val="Compact"/>
              <w:bidi/>
              <w:jc w:val="left"/>
            </w:pPr>
            <w:r>
              <w:rPr>
                <w:rtl/>
              </w:rPr>
              <w:t xml:space="preserve">3.5%</w:t>
            </w:r>
          </w:p>
        </w:tc>
        <w:tc>
          <w:tcPr/>
          <w:p>
            <w:pPr>
              <w:pStyle w:val="Compact"/>
              <w:bidi/>
              <w:jc w:val="left"/>
            </w:pPr>
            <w:r>
              <w:rPr>
                <w:rtl/>
              </w:rPr>
              <w:t xml:space="preserve">6%</w:t>
            </w:r>
          </w:p>
        </w:tc>
        <w:tc>
          <w:tcPr/>
          <w:p>
            <w:pPr>
              <w:pStyle w:val="Compact"/>
              <w:bidi/>
              <w:jc w:val="left"/>
            </w:pPr>
            <w:r>
              <w:rPr>
                <w:rtl/>
              </w:rPr>
              <w:t xml:space="preserve">نحو 14.7%</w:t>
            </w:r>
          </w:p>
        </w:tc>
      </w:tr>
      <w:tr>
        <w:tc>
          <w:tcPr/>
          <w:p>
            <w:pPr>
              <w:pStyle w:val="Compact"/>
              <w:bidi/>
              <w:jc w:val="left"/>
            </w:pPr>
            <w:r>
              <w:rPr>
                <w:rtl/>
              </w:rPr>
              <w:t xml:space="preserve">السلام</w:t>
            </w:r>
          </w:p>
        </w:tc>
        <w:tc>
          <w:tcPr/>
          <w:p>
            <w:pPr>
              <w:pStyle w:val="Compact"/>
              <w:bidi/>
              <w:jc w:val="left"/>
            </w:pPr>
            <w:r>
              <w:rPr>
                <w:rtl/>
              </w:rPr>
              <w:t xml:space="preserve">هش ومتقطع</w:t>
            </w:r>
          </w:p>
        </w:tc>
        <w:tc>
          <w:tcPr/>
          <w:p>
            <w:pPr>
              <w:pStyle w:val="Compact"/>
              <w:bidi/>
              <w:jc w:val="left"/>
            </w:pPr>
            <w:r>
              <w:rPr>
                <w:rtl/>
              </w:rPr>
              <w:t xml:space="preserve">وقف شامل قبل الشهر 18</w:t>
            </w:r>
          </w:p>
        </w:tc>
        <w:tc>
          <w:tcPr/>
          <w:p>
            <w:pPr>
              <w:pStyle w:val="Compact"/>
              <w:bidi/>
              <w:jc w:val="left"/>
            </w:pPr>
            <w:r>
              <w:rPr>
                <w:rtl/>
              </w:rPr>
              <w:t xml:space="preserve">وقف شامل مبكر وتسوية مستقرة</w:t>
            </w:r>
          </w:p>
        </w:tc>
      </w:tr>
      <w:tr>
        <w:tc>
          <w:tcPr/>
          <w:p>
            <w:pPr>
              <w:pStyle w:val="Compact"/>
              <w:bidi/>
              <w:jc w:val="left"/>
            </w:pPr>
            <w:r>
              <w:rPr>
                <w:rtl/>
              </w:rPr>
              <w:t xml:space="preserve">التمويل الخارجي</w:t>
            </w:r>
          </w:p>
        </w:tc>
        <w:tc>
          <w:tcPr/>
          <w:p>
            <w:pPr>
              <w:pStyle w:val="Compact"/>
              <w:bidi/>
              <w:jc w:val="left"/>
            </w:pPr>
            <w:r>
              <w:rPr>
                <w:rtl/>
              </w:rPr>
              <w:t xml:space="preserve">محدود</w:t>
            </w:r>
          </w:p>
        </w:tc>
        <w:tc>
          <w:tcPr/>
          <w:p>
            <w:pPr>
              <w:pStyle w:val="Compact"/>
              <w:bidi/>
              <w:jc w:val="left"/>
            </w:pPr>
            <w:r>
              <w:rPr>
                <w:rtl/>
              </w:rPr>
              <w:t xml:space="preserve">متوسط ومشروط</w:t>
            </w:r>
          </w:p>
        </w:tc>
        <w:tc>
          <w:tcPr/>
          <w:p>
            <w:pPr>
              <w:pStyle w:val="Compact"/>
              <w:bidi/>
              <w:jc w:val="left"/>
            </w:pPr>
            <w:r>
              <w:rPr>
                <w:rtl/>
              </w:rPr>
              <w:t xml:space="preserve">واسع مع إعفاء الديون</w:t>
            </w:r>
          </w:p>
        </w:tc>
      </w:tr>
      <w:tr>
        <w:tc>
          <w:tcPr/>
          <w:p>
            <w:pPr>
              <w:pStyle w:val="Compact"/>
              <w:bidi/>
              <w:jc w:val="left"/>
            </w:pPr>
            <w:r>
              <w:rPr>
                <w:rtl/>
              </w:rPr>
              <w:t xml:space="preserve">الذهب في القنوات الرسمية</w:t>
            </w:r>
          </w:p>
        </w:tc>
        <w:tc>
          <w:tcPr/>
          <w:p>
            <w:pPr>
              <w:pStyle w:val="Compact"/>
              <w:bidi/>
              <w:jc w:val="left"/>
            </w:pPr>
            <w:r>
              <w:rPr>
                <w:rtl/>
              </w:rPr>
              <w:t xml:space="preserve">تحسن محدود</w:t>
            </w:r>
          </w:p>
        </w:tc>
        <w:tc>
          <w:tcPr/>
          <w:p>
            <w:pPr>
              <w:pStyle w:val="Compact"/>
              <w:bidi/>
              <w:jc w:val="left"/>
            </w:pPr>
            <w:r>
              <w:rPr>
                <w:rtl/>
              </w:rPr>
              <w:t xml:space="preserve">75% بنهاية الانتقال</w:t>
            </w:r>
          </w:p>
        </w:tc>
        <w:tc>
          <w:tcPr/>
          <w:p>
            <w:pPr>
              <w:pStyle w:val="Compact"/>
              <w:bidi/>
              <w:jc w:val="left"/>
            </w:pPr>
            <w:r>
              <w:rPr>
                <w:rtl/>
              </w:rPr>
              <w:t xml:space="preserve">أكثر من 90%</w:t>
            </w:r>
          </w:p>
        </w:tc>
      </w:tr>
      <w:tr>
        <w:tc>
          <w:tcPr/>
          <w:p>
            <w:pPr>
              <w:pStyle w:val="Compact"/>
              <w:bidi/>
              <w:jc w:val="left"/>
            </w:pPr>
            <w:r>
              <w:rPr>
                <w:rtl/>
              </w:rPr>
              <w:t xml:space="preserve">الاستثمار الخاص</w:t>
            </w:r>
          </w:p>
        </w:tc>
        <w:tc>
          <w:tcPr/>
          <w:p>
            <w:pPr>
              <w:pStyle w:val="Compact"/>
              <w:bidi/>
              <w:jc w:val="left"/>
            </w:pPr>
            <w:r>
              <w:rPr>
                <w:rtl/>
              </w:rPr>
              <w:t xml:space="preserve">ضعيف</w:t>
            </w:r>
          </w:p>
        </w:tc>
        <w:tc>
          <w:tcPr/>
          <w:p>
            <w:pPr>
              <w:pStyle w:val="Compact"/>
              <w:bidi/>
              <w:jc w:val="left"/>
            </w:pPr>
            <w:r>
              <w:rPr>
                <w:rtl/>
              </w:rPr>
              <w:t xml:space="preserve">متوسط</w:t>
            </w:r>
          </w:p>
        </w:tc>
        <w:tc>
          <w:tcPr/>
          <w:p>
            <w:pPr>
              <w:pStyle w:val="Compact"/>
              <w:bidi/>
              <w:jc w:val="left"/>
            </w:pPr>
            <w:r>
              <w:rPr>
                <w:rtl/>
              </w:rPr>
              <w:t xml:space="preserve">قوي، مع عودة رؤوس أموال المهجر</w:t>
            </w:r>
          </w:p>
        </w:tc>
      </w:tr>
    </w:tbl>
    <w:bookmarkEnd w:id="30"/>
    <w:bookmarkStart w:id="31" w:name="الناتج-ومستوى-المعيشة-في-كل-سيناريو"/>
    <w:p>
      <w:pPr>
        <w:pStyle w:val="Heading2"/>
        <w:bidi/>
      </w:pPr>
      <w:r>
        <w:rPr>
          <w:rtl/>
        </w:rPr>
        <w:t xml:space="preserve">الناتج ومستوى المعيشة في كل سيناريو</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السنة</w:t>
            </w:r>
          </w:p>
        </w:tc>
        <w:tc>
          <w:tcPr/>
          <w:p>
            <w:pPr>
              <w:pStyle w:val="Compact"/>
              <w:bidi/>
              <w:jc w:val="left"/>
            </w:pPr>
            <w:r>
              <w:rPr>
                <w:rtl/>
              </w:rPr>
              <w:t xml:space="preserve">المتحفظ</w:t>
            </w:r>
          </w:p>
        </w:tc>
        <w:tc>
          <w:tcPr/>
          <w:p>
            <w:pPr>
              <w:pStyle w:val="Compact"/>
              <w:bidi/>
              <w:jc w:val="left"/>
            </w:pPr>
            <w:r>
              <w:rPr>
                <w:rtl/>
              </w:rPr>
              <w:t xml:space="preserve">المعتدل</w:t>
            </w:r>
          </w:p>
        </w:tc>
        <w:tc>
          <w:tcPr/>
          <w:p>
            <w:pPr>
              <w:pStyle w:val="Compact"/>
              <w:bidi/>
              <w:jc w:val="left"/>
            </w:pPr>
            <w:r>
              <w:rPr>
                <w:rtl/>
              </w:rPr>
              <w:t xml:space="preserve">الطموح</w:t>
            </w:r>
          </w:p>
        </w:tc>
      </w:tr>
      <w:tr>
        <w:tc>
          <w:tcPr/>
          <w:p>
            <w:pPr>
              <w:pStyle w:val="Compact"/>
              <w:bidi/>
              <w:jc w:val="left"/>
            </w:pPr>
            <w:r>
              <w:rPr>
                <w:b/>
                <w:bCs/>
                <w:rtl/>
              </w:rPr>
              <w:t xml:space="preserve">الناتج (مليار دولار، بأسعار 2025)</w:t>
            </w:r>
          </w:p>
        </w:tc>
        <w:tc>
          <w:tcPr/>
          <w:p>
            <w:pPr>
              <w:pStyle w:val="Compact"/>
              <w:bidi/>
            </w:pPr>
          </w:p>
        </w:tc>
        <w:tc>
          <w:tcPr/>
          <w:p>
            <w:pPr>
              <w:pStyle w:val="Compact"/>
              <w:bidi/>
            </w:pPr>
          </w:p>
        </w:tc>
        <w:tc>
          <w:tcPr/>
          <w:p>
            <w:pPr>
              <w:pStyle w:val="Compact"/>
              <w:bidi/>
            </w:pPr>
          </w:p>
        </w:tc>
      </w:tr>
      <w:tr>
        <w:tc>
          <w:tcPr/>
          <w:p>
            <w:pPr>
              <w:pStyle w:val="Compact"/>
              <w:bidi/>
              <w:jc w:val="left"/>
            </w:pPr>
            <w:r>
              <w:rPr>
                <w:rtl/>
              </w:rPr>
              <w:t xml:space="preserve">2027</w:t>
            </w:r>
          </w:p>
        </w:tc>
        <w:tc>
          <w:tcPr/>
          <w:p>
            <w:pPr>
              <w:pStyle w:val="Compact"/>
              <w:bidi/>
              <w:jc w:val="left"/>
            </w:pPr>
            <w:r>
              <w:rPr>
                <w:rtl/>
              </w:rPr>
              <w:t xml:space="preserve">65.7</w:t>
            </w:r>
          </w:p>
        </w:tc>
        <w:tc>
          <w:tcPr/>
          <w:p>
            <w:pPr>
              <w:pStyle w:val="Compact"/>
              <w:bidi/>
              <w:jc w:val="left"/>
            </w:pPr>
            <w:r>
              <w:rPr>
                <w:rtl/>
              </w:rPr>
              <w:t xml:space="preserve">67.3</w:t>
            </w:r>
          </w:p>
        </w:tc>
        <w:tc>
          <w:tcPr/>
          <w:p>
            <w:pPr>
              <w:pStyle w:val="Compact"/>
              <w:bidi/>
              <w:jc w:val="left"/>
            </w:pPr>
            <w:r>
              <w:rPr>
                <w:rtl/>
              </w:rPr>
              <w:t xml:space="preserve">72.8</w:t>
            </w:r>
          </w:p>
        </w:tc>
      </w:tr>
      <w:tr>
        <w:tc>
          <w:tcPr/>
          <w:p>
            <w:pPr>
              <w:pStyle w:val="Compact"/>
              <w:bidi/>
              <w:jc w:val="left"/>
            </w:pPr>
            <w:r>
              <w:rPr>
                <w:rtl/>
              </w:rPr>
              <w:t xml:space="preserve">2029</w:t>
            </w:r>
          </w:p>
        </w:tc>
        <w:tc>
          <w:tcPr/>
          <w:p>
            <w:pPr>
              <w:pStyle w:val="Compact"/>
              <w:bidi/>
              <w:jc w:val="left"/>
            </w:pPr>
            <w:r>
              <w:rPr>
                <w:rtl/>
              </w:rPr>
              <w:t xml:space="preserve">70.4</w:t>
            </w:r>
          </w:p>
        </w:tc>
        <w:tc>
          <w:tcPr/>
          <w:p>
            <w:pPr>
              <w:pStyle w:val="Compact"/>
              <w:bidi/>
              <w:jc w:val="left"/>
            </w:pPr>
            <w:r>
              <w:rPr>
                <w:rtl/>
              </w:rPr>
              <w:t xml:space="preserve">75.6</w:t>
            </w:r>
          </w:p>
        </w:tc>
        <w:tc>
          <w:tcPr/>
          <w:p>
            <w:pPr>
              <w:pStyle w:val="Compact"/>
              <w:bidi/>
              <w:jc w:val="left"/>
            </w:pPr>
            <w:r>
              <w:rPr>
                <w:rtl/>
              </w:rPr>
              <w:t xml:space="preserve">95.8</w:t>
            </w:r>
          </w:p>
        </w:tc>
      </w:tr>
      <w:tr>
        <w:tc>
          <w:tcPr/>
          <w:p>
            <w:pPr>
              <w:pStyle w:val="Compact"/>
              <w:bidi/>
              <w:jc w:val="left"/>
            </w:pPr>
            <w:r>
              <w:rPr>
                <w:rtl/>
              </w:rPr>
              <w:t xml:space="preserve">2031</w:t>
            </w:r>
          </w:p>
        </w:tc>
        <w:tc>
          <w:tcPr/>
          <w:p>
            <w:pPr>
              <w:pStyle w:val="Compact"/>
              <w:bidi/>
              <w:jc w:val="left"/>
            </w:pPr>
            <w:r>
              <w:rPr>
                <w:rtl/>
              </w:rPr>
              <w:t xml:space="preserve">75.4</w:t>
            </w:r>
          </w:p>
        </w:tc>
        <w:tc>
          <w:tcPr/>
          <w:p>
            <w:pPr>
              <w:pStyle w:val="Compact"/>
              <w:bidi/>
              <w:jc w:val="left"/>
            </w:pPr>
            <w:r>
              <w:rPr>
                <w:rtl/>
              </w:rPr>
              <w:t xml:space="preserve">85.0</w:t>
            </w:r>
          </w:p>
        </w:tc>
        <w:tc>
          <w:tcPr/>
          <w:p>
            <w:pPr>
              <w:pStyle w:val="Compact"/>
              <w:bidi/>
              <w:jc w:val="left"/>
            </w:pPr>
            <w:r>
              <w:rPr>
                <w:rtl/>
              </w:rPr>
              <w:t xml:space="preserve">126.1</w:t>
            </w:r>
          </w:p>
        </w:tc>
      </w:tr>
      <w:tr>
        <w:tc>
          <w:tcPr/>
          <w:p>
            <w:pPr>
              <w:pStyle w:val="Compact"/>
              <w:bidi/>
              <w:jc w:val="left"/>
            </w:pPr>
            <w:r>
              <w:rPr>
                <w:rtl/>
              </w:rPr>
              <w:t xml:space="preserve">2034</w:t>
            </w:r>
          </w:p>
        </w:tc>
        <w:tc>
          <w:tcPr/>
          <w:p>
            <w:pPr>
              <w:pStyle w:val="Compact"/>
              <w:bidi/>
              <w:jc w:val="left"/>
            </w:pPr>
            <w:r>
              <w:rPr>
                <w:rtl/>
              </w:rPr>
              <w:t xml:space="preserve">83.6</w:t>
            </w:r>
          </w:p>
        </w:tc>
        <w:tc>
          <w:tcPr/>
          <w:p>
            <w:pPr>
              <w:pStyle w:val="Compact"/>
              <w:bidi/>
              <w:jc w:val="left"/>
            </w:pPr>
            <w:r>
              <w:rPr>
                <w:rtl/>
              </w:rPr>
              <w:t xml:space="preserve">101.2</w:t>
            </w:r>
          </w:p>
        </w:tc>
        <w:tc>
          <w:tcPr/>
          <w:p>
            <w:pPr>
              <w:pStyle w:val="Compact"/>
              <w:bidi/>
              <w:jc w:val="left"/>
            </w:pPr>
            <w:r>
              <w:rPr>
                <w:rtl/>
              </w:rPr>
              <w:t xml:space="preserve">190.3</w:t>
            </w:r>
          </w:p>
        </w:tc>
      </w:tr>
      <w:tr>
        <w:tc>
          <w:tcPr/>
          <w:p>
            <w:pPr>
              <w:pStyle w:val="Compact"/>
              <w:bidi/>
              <w:jc w:val="left"/>
            </w:pPr>
            <w:r>
              <w:rPr>
                <w:b/>
                <w:bCs/>
                <w:rtl/>
              </w:rPr>
              <w:t xml:space="preserve">الناتج كنسبة من مستوى 2022 قبل الحرب</w:t>
            </w:r>
          </w:p>
        </w:tc>
        <w:tc>
          <w:tcPr/>
          <w:p>
            <w:pPr>
              <w:pStyle w:val="Compact"/>
              <w:bidi/>
            </w:pPr>
          </w:p>
        </w:tc>
        <w:tc>
          <w:tcPr/>
          <w:p>
            <w:pPr>
              <w:pStyle w:val="Compact"/>
              <w:bidi/>
            </w:pPr>
          </w:p>
        </w:tc>
        <w:tc>
          <w:tcPr/>
          <w:p>
            <w:pPr>
              <w:pStyle w:val="Compact"/>
              <w:bidi/>
            </w:pPr>
          </w:p>
        </w:tc>
      </w:tr>
      <w:tr>
        <w:tc>
          <w:tcPr/>
          <w:p>
            <w:pPr>
              <w:pStyle w:val="Compact"/>
              <w:bidi/>
              <w:jc w:val="left"/>
            </w:pPr>
            <w:r>
              <w:rPr>
                <w:rtl/>
              </w:rPr>
              <w:t xml:space="preserve">2029</w:t>
            </w:r>
          </w:p>
        </w:tc>
        <w:tc>
          <w:tcPr/>
          <w:p>
            <w:pPr>
              <w:pStyle w:val="Compact"/>
              <w:bidi/>
              <w:jc w:val="left"/>
            </w:pPr>
            <w:r>
              <w:rPr>
                <w:rtl/>
              </w:rPr>
              <w:t xml:space="preserve">73%</w:t>
            </w:r>
          </w:p>
        </w:tc>
        <w:tc>
          <w:tcPr/>
          <w:p>
            <w:pPr>
              <w:pStyle w:val="Compact"/>
              <w:bidi/>
              <w:jc w:val="left"/>
            </w:pPr>
            <w:r>
              <w:rPr>
                <w:rtl/>
              </w:rPr>
              <w:t xml:space="preserve">79%</w:t>
            </w:r>
          </w:p>
        </w:tc>
        <w:tc>
          <w:tcPr/>
          <w:p>
            <w:pPr>
              <w:pStyle w:val="Compact"/>
              <w:bidi/>
              <w:jc w:val="left"/>
            </w:pPr>
            <w:r>
              <w:rPr>
                <w:rtl/>
              </w:rPr>
              <w:t xml:space="preserve">100%</w:t>
            </w:r>
          </w:p>
        </w:tc>
      </w:tr>
      <w:tr>
        <w:tc>
          <w:tcPr/>
          <w:p>
            <w:pPr>
              <w:pStyle w:val="Compact"/>
              <w:bidi/>
              <w:jc w:val="left"/>
            </w:pPr>
            <w:r>
              <w:rPr>
                <w:rtl/>
              </w:rPr>
              <w:t xml:space="preserve">2034</w:t>
            </w:r>
          </w:p>
        </w:tc>
        <w:tc>
          <w:tcPr/>
          <w:p>
            <w:pPr>
              <w:pStyle w:val="Compact"/>
              <w:bidi/>
              <w:jc w:val="left"/>
            </w:pPr>
            <w:r>
              <w:rPr>
                <w:rtl/>
              </w:rPr>
              <w:t xml:space="preserve">87%</w:t>
            </w:r>
          </w:p>
        </w:tc>
        <w:tc>
          <w:tcPr/>
          <w:p>
            <w:pPr>
              <w:pStyle w:val="Compact"/>
              <w:bidi/>
              <w:jc w:val="left"/>
            </w:pPr>
            <w:r>
              <w:rPr>
                <w:rtl/>
              </w:rPr>
              <w:t xml:space="preserve">105%</w:t>
            </w:r>
          </w:p>
        </w:tc>
        <w:tc>
          <w:tcPr/>
          <w:p>
            <w:pPr>
              <w:pStyle w:val="Compact"/>
              <w:bidi/>
              <w:jc w:val="left"/>
            </w:pPr>
            <w:r>
              <w:rPr>
                <w:rtl/>
              </w:rPr>
              <w:t xml:space="preserve">198%</w:t>
            </w:r>
          </w:p>
        </w:tc>
      </w:tr>
      <w:tr>
        <w:tc>
          <w:tcPr/>
          <w:p>
            <w:pPr>
              <w:pStyle w:val="Compact"/>
              <w:bidi/>
              <w:jc w:val="left"/>
            </w:pPr>
            <w:r>
              <w:rPr>
                <w:b/>
                <w:bCs/>
                <w:rtl/>
              </w:rPr>
              <w:t xml:space="preserve">نصيب الفرد من الناتج (دولار)</w:t>
            </w:r>
          </w:p>
        </w:tc>
        <w:tc>
          <w:tcPr/>
          <w:p>
            <w:pPr>
              <w:pStyle w:val="Compact"/>
              <w:bidi/>
            </w:pPr>
          </w:p>
        </w:tc>
        <w:tc>
          <w:tcPr/>
          <w:p>
            <w:pPr>
              <w:pStyle w:val="Compact"/>
              <w:bidi/>
            </w:pPr>
          </w:p>
        </w:tc>
        <w:tc>
          <w:tcPr/>
          <w:p>
            <w:pPr>
              <w:pStyle w:val="Compact"/>
              <w:bidi/>
            </w:pPr>
          </w:p>
        </w:tc>
      </w:tr>
      <w:tr>
        <w:tc>
          <w:tcPr/>
          <w:p>
            <w:pPr>
              <w:pStyle w:val="Compact"/>
              <w:bidi/>
              <w:jc w:val="left"/>
            </w:pPr>
            <w:r>
              <w:rPr>
                <w:rtl/>
              </w:rPr>
              <w:t xml:space="preserve">2025 (أساس)</w:t>
            </w:r>
          </w:p>
        </w:tc>
        <w:tc>
          <w:tcPr/>
          <w:p>
            <w:pPr>
              <w:pStyle w:val="Compact"/>
              <w:bidi/>
              <w:jc w:val="left"/>
            </w:pPr>
            <w:r>
              <w:rPr>
                <w:rtl/>
              </w:rPr>
              <w:t xml:space="preserve">1,164</w:t>
            </w:r>
          </w:p>
        </w:tc>
        <w:tc>
          <w:tcPr/>
          <w:p>
            <w:pPr>
              <w:pStyle w:val="Compact"/>
              <w:bidi/>
              <w:jc w:val="left"/>
            </w:pPr>
            <w:r>
              <w:rPr>
                <w:rtl/>
              </w:rPr>
              <w:t xml:space="preserve">1,164</w:t>
            </w:r>
          </w:p>
        </w:tc>
        <w:tc>
          <w:tcPr/>
          <w:p>
            <w:pPr>
              <w:pStyle w:val="Compact"/>
              <w:bidi/>
              <w:jc w:val="left"/>
            </w:pPr>
            <w:r>
              <w:rPr>
                <w:rtl/>
              </w:rPr>
              <w:t xml:space="preserve">1,164</w:t>
            </w:r>
          </w:p>
        </w:tc>
      </w:tr>
      <w:tr>
        <w:tc>
          <w:tcPr/>
          <w:p>
            <w:pPr>
              <w:pStyle w:val="Compact"/>
              <w:bidi/>
              <w:jc w:val="left"/>
            </w:pPr>
            <w:r>
              <w:rPr>
                <w:rtl/>
              </w:rPr>
              <w:t xml:space="preserve">2034</w:t>
            </w:r>
          </w:p>
        </w:tc>
        <w:tc>
          <w:tcPr/>
          <w:p>
            <w:pPr>
              <w:pStyle w:val="Compact"/>
              <w:bidi/>
              <w:jc w:val="left"/>
            </w:pPr>
            <w:r>
              <w:rPr>
                <w:rtl/>
              </w:rPr>
              <w:t xml:space="preserve">نحو 1,280</w:t>
            </w:r>
          </w:p>
        </w:tc>
        <w:tc>
          <w:tcPr/>
          <w:p>
            <w:pPr>
              <w:pStyle w:val="Compact"/>
              <w:bidi/>
              <w:jc w:val="left"/>
            </w:pPr>
            <w:r>
              <w:rPr>
                <w:rtl/>
              </w:rPr>
              <w:t xml:space="preserve">نحو 1,550</w:t>
            </w:r>
          </w:p>
        </w:tc>
        <w:tc>
          <w:tcPr/>
          <w:p>
            <w:pPr>
              <w:pStyle w:val="Compact"/>
              <w:bidi/>
              <w:jc w:val="left"/>
            </w:pPr>
            <w:r>
              <w:rPr>
                <w:rtl/>
              </w:rPr>
              <w:t xml:space="preserve">نحو 2,920</w:t>
            </w:r>
          </w:p>
        </w:tc>
      </w:tr>
    </w:tbl>
    <w:p>
      <w:pPr>
        <w:pStyle w:val="BodyText"/>
        <w:bidi/>
      </w:pPr>
      <w:r>
        <w:rPr>
          <w:i/>
          <w:iCs/>
          <w:rtl/>
        </w:rPr>
        <w:t xml:space="preserve">(نصيب الفرد محسوب بافتراض نمو سكاني قدره 2.6% سنوياً من 53.1 مليون نسمة في 2026، أي نحو 66 مليوناً في 2034. والرقمان تقديريان، يُراجعان بعد التعداد.)</w:t>
      </w:r>
    </w:p>
    <w:p>
      <w:pPr>
        <w:pStyle w:val="BodyText"/>
        <w:bidi/>
      </w:pPr>
      <w:r>
        <w:rPr>
          <w:b/>
          <w:bCs/>
          <w:rtl/>
        </w:rPr>
        <w:t xml:space="preserve">وهذا الجدول يكشف حقيقة ينبغي أن تُقال بوضوح:</w:t>
      </w:r>
      <w:r>
        <w:rPr>
          <w:rtl/>
        </w:rPr>
        <w:t xml:space="preserve"> </w:t>
      </w:r>
      <w:r>
        <w:rPr>
          <w:rtl/>
        </w:rPr>
        <w:t xml:space="preserve">إن السيناريو المعتدل، الذي تُبنى عليه الموازنة،</w:t>
      </w:r>
      <w:r>
        <w:rPr>
          <w:rtl/>
        </w:rPr>
        <w:t xml:space="preserve"> </w:t>
      </w:r>
      <w:r>
        <w:rPr>
          <w:b/>
          <w:bCs/>
          <w:rtl/>
        </w:rPr>
        <w:t xml:space="preserve">لا يعيد الاقتصاد إلى حجمه قبل الحرب إلا في حدود 2033–2034</w:t>
      </w:r>
      <w:r>
        <w:rPr>
          <w:rtl/>
        </w:rPr>
        <w:t xml:space="preserve">. أما السيناريو المتحفظ فلا يعيده إليه حتى نهاية أفق الرؤية. ولذلك فإن الطموح ليس ترفاً، وإنما ضرورة لكي لا يضيع جيل كامل في انتظار العودة إلى ما كان.</w:t>
      </w:r>
    </w:p>
    <w:bookmarkEnd w:id="31"/>
    <w:bookmarkStart w:id="32" w:name="هدف-مضاعفة-الناتج-ثلاث-مرات"/>
    <w:p>
      <w:pPr>
        <w:pStyle w:val="Heading2"/>
        <w:bidi/>
      </w:pPr>
      <w:r>
        <w:rPr>
          <w:rtl/>
        </w:rPr>
        <w:t xml:space="preserve">هدف مضاعفة الناتج ثلاث مرات</w:t>
      </w:r>
    </w:p>
    <w:p>
      <w:pPr>
        <w:pStyle w:val="FirstParagraph"/>
        <w:bidi/>
      </w:pPr>
      <w:r>
        <w:rPr>
          <w:rtl/>
        </w:rPr>
        <w:t xml:space="preserve">إن هدف الرؤية،</w:t>
      </w:r>
      <w:r>
        <w:rPr>
          <w:rtl/>
        </w:rPr>
        <w:t xml:space="preserve"> </w:t>
      </w:r>
      <w:r>
        <w:rPr>
          <w:b/>
          <w:bCs/>
          <w:rtl/>
        </w:rPr>
        <w:t xml:space="preserve">مضاعفة الناتج المحلي الإجمالي إلى نحو ثلاثة أمثاله بحلول 2034</w:t>
      </w:r>
      <w:r>
        <w:rPr>
          <w:rtl/>
        </w:rPr>
        <w:t xml:space="preserve">، يقابل السيناريو الطموح، ويتطلب نمواً حقيقياً قريباً من 14.7% سنوياً لثماني سنوات متتالية.</w:t>
      </w:r>
      <w:r>
        <w:rPr>
          <w:rtl/>
        </w:rPr>
        <w:t xml:space="preserve"> </w:t>
      </w:r>
      <w:r>
        <w:rPr>
          <w:b/>
          <w:bCs/>
          <w:rtl/>
        </w:rPr>
        <w:t xml:space="preserve">وهو معدل مرتفع جداً وفق المعايير التاريخية</w:t>
      </w:r>
      <w:r>
        <w:rPr>
          <w:rtl/>
        </w:rPr>
        <w:t xml:space="preserve">، ويتطلب اجتماع شروط استثنائية من السلام والاستقرار والإصلاح المؤسسي والاستثمار وإعادة الإعمار وتدفقات رأس المال. لذلك يبقى الهدف طموحاً سياسياً معلناً، بينما</w:t>
      </w:r>
      <w:r>
        <w:rPr>
          <w:rtl/>
        </w:rPr>
        <w:t xml:space="preserve"> </w:t>
      </w:r>
      <w:r>
        <w:rPr>
          <w:b/>
          <w:bCs/>
          <w:rtl/>
        </w:rPr>
        <w:t xml:space="preserve">تُبنى الموازنة على السيناريو المعتدل</w:t>
      </w:r>
      <w:r>
        <w:rPr>
          <w:rtl/>
        </w:rPr>
        <w:t xml:space="preserve">، ويُوجَّه أي نمو يفوقه إلى الصندوق السيادي وتسريع الإعمار.</w:t>
      </w:r>
    </w:p>
    <w:bookmarkEnd w:id="32"/>
    <w:bookmarkStart w:id="33" w:name="حساسية-النتائج-لمعدل-النمو"/>
    <w:p>
      <w:pPr>
        <w:pStyle w:val="Heading2"/>
        <w:bidi/>
      </w:pPr>
      <w:r>
        <w:rPr>
          <w:rtl/>
        </w:rPr>
        <w:t xml:space="preserve">حساسية النتائج لمعدل النمو</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متوسط النمو السنوي</w:t>
            </w:r>
          </w:p>
        </w:tc>
        <w:tc>
          <w:tcPr/>
          <w:p>
            <w:pPr>
              <w:pStyle w:val="Compact"/>
              <w:bidi/>
              <w:jc w:val="left"/>
            </w:pPr>
            <w:r>
              <w:rPr>
                <w:rtl/>
              </w:rPr>
              <w:t xml:space="preserve">الناتج في 2034 (مليار دولار)</w:t>
            </w:r>
          </w:p>
        </w:tc>
        <w:tc>
          <w:tcPr/>
          <w:p>
            <w:pPr>
              <w:pStyle w:val="Compact"/>
              <w:bidi/>
              <w:jc w:val="left"/>
            </w:pPr>
            <w:r>
              <w:rPr>
                <w:rtl/>
              </w:rPr>
              <w:t xml:space="preserve">كنسبة من مستوى 2022</w:t>
            </w:r>
          </w:p>
        </w:tc>
      </w:tr>
      <w:tr>
        <w:tc>
          <w:tcPr/>
          <w:p>
            <w:pPr>
              <w:pStyle w:val="Compact"/>
              <w:bidi/>
              <w:jc w:val="left"/>
            </w:pPr>
            <w:r>
              <w:rPr>
                <w:rtl/>
              </w:rPr>
              <w:t xml:space="preserve">3%</w:t>
            </w:r>
          </w:p>
        </w:tc>
        <w:tc>
          <w:tcPr/>
          <w:p>
            <w:pPr>
              <w:pStyle w:val="Compact"/>
              <w:bidi/>
              <w:jc w:val="left"/>
            </w:pPr>
            <w:r>
              <w:rPr>
                <w:rtl/>
              </w:rPr>
              <w:t xml:space="preserve">80.5</w:t>
            </w:r>
          </w:p>
        </w:tc>
        <w:tc>
          <w:tcPr/>
          <w:p>
            <w:pPr>
              <w:pStyle w:val="Compact"/>
              <w:bidi/>
              <w:jc w:val="left"/>
            </w:pPr>
            <w:r>
              <w:rPr>
                <w:rtl/>
              </w:rPr>
              <w:t xml:space="preserve">84%</w:t>
            </w:r>
          </w:p>
        </w:tc>
      </w:tr>
      <w:tr>
        <w:tc>
          <w:tcPr/>
          <w:p>
            <w:pPr>
              <w:pStyle w:val="Compact"/>
              <w:bidi/>
              <w:jc w:val="left"/>
            </w:pPr>
            <w:r>
              <w:rPr>
                <w:rtl/>
              </w:rPr>
              <w:t xml:space="preserve">4%</w:t>
            </w:r>
          </w:p>
        </w:tc>
        <w:tc>
          <w:tcPr/>
          <w:p>
            <w:pPr>
              <w:pStyle w:val="Compact"/>
              <w:bidi/>
              <w:jc w:val="left"/>
            </w:pPr>
            <w:r>
              <w:rPr>
                <w:rtl/>
              </w:rPr>
              <w:t xml:space="preserve">86.9</w:t>
            </w:r>
          </w:p>
        </w:tc>
        <w:tc>
          <w:tcPr/>
          <w:p>
            <w:pPr>
              <w:pStyle w:val="Compact"/>
              <w:bidi/>
              <w:jc w:val="left"/>
            </w:pPr>
            <w:r>
              <w:rPr>
                <w:rtl/>
              </w:rPr>
              <w:t xml:space="preserve">90%</w:t>
            </w:r>
          </w:p>
        </w:tc>
      </w:tr>
      <w:tr>
        <w:tc>
          <w:tcPr/>
          <w:p>
            <w:pPr>
              <w:pStyle w:val="Compact"/>
              <w:bidi/>
              <w:jc w:val="left"/>
            </w:pPr>
            <w:r>
              <w:rPr>
                <w:rtl/>
              </w:rPr>
              <w:t xml:space="preserve">5%</w:t>
            </w:r>
          </w:p>
        </w:tc>
        <w:tc>
          <w:tcPr/>
          <w:p>
            <w:pPr>
              <w:pStyle w:val="Compact"/>
              <w:bidi/>
              <w:jc w:val="left"/>
            </w:pPr>
            <w:r>
              <w:rPr>
                <w:rtl/>
              </w:rPr>
              <w:t xml:space="preserve">93.8</w:t>
            </w:r>
          </w:p>
        </w:tc>
        <w:tc>
          <w:tcPr/>
          <w:p>
            <w:pPr>
              <w:pStyle w:val="Compact"/>
              <w:bidi/>
              <w:jc w:val="left"/>
            </w:pPr>
            <w:r>
              <w:rPr>
                <w:rtl/>
              </w:rPr>
              <w:t xml:space="preserve">98%</w:t>
            </w:r>
          </w:p>
        </w:tc>
      </w:tr>
      <w:tr>
        <w:tc>
          <w:tcPr/>
          <w:p>
            <w:pPr>
              <w:pStyle w:val="Compact"/>
              <w:bidi/>
              <w:jc w:val="left"/>
            </w:pPr>
            <w:r>
              <w:rPr>
                <w:rtl/>
              </w:rPr>
              <w:t xml:space="preserve">6%</w:t>
            </w:r>
          </w:p>
        </w:tc>
        <w:tc>
          <w:tcPr/>
          <w:p>
            <w:pPr>
              <w:pStyle w:val="Compact"/>
              <w:bidi/>
              <w:jc w:val="left"/>
            </w:pPr>
            <w:r>
              <w:rPr>
                <w:rtl/>
              </w:rPr>
              <w:t xml:space="preserve">101.2</w:t>
            </w:r>
          </w:p>
        </w:tc>
        <w:tc>
          <w:tcPr/>
          <w:p>
            <w:pPr>
              <w:pStyle w:val="Compact"/>
              <w:bidi/>
              <w:jc w:val="left"/>
            </w:pPr>
            <w:r>
              <w:rPr>
                <w:rtl/>
              </w:rPr>
              <w:t xml:space="preserve">105%</w:t>
            </w:r>
          </w:p>
        </w:tc>
      </w:tr>
      <w:tr>
        <w:tc>
          <w:tcPr/>
          <w:p>
            <w:pPr>
              <w:pStyle w:val="Compact"/>
              <w:bidi/>
              <w:jc w:val="left"/>
            </w:pPr>
            <w:r>
              <w:rPr>
                <w:rtl/>
              </w:rPr>
              <w:t xml:space="preserve">8%</w:t>
            </w:r>
          </w:p>
        </w:tc>
        <w:tc>
          <w:tcPr/>
          <w:p>
            <w:pPr>
              <w:pStyle w:val="Compact"/>
              <w:bidi/>
              <w:jc w:val="left"/>
            </w:pPr>
            <w:r>
              <w:rPr>
                <w:rtl/>
              </w:rPr>
              <w:t xml:space="preserve">117.6</w:t>
            </w:r>
          </w:p>
        </w:tc>
        <w:tc>
          <w:tcPr/>
          <w:p>
            <w:pPr>
              <w:pStyle w:val="Compact"/>
              <w:bidi/>
              <w:jc w:val="left"/>
            </w:pPr>
            <w:r>
              <w:rPr>
                <w:rtl/>
              </w:rPr>
              <w:t xml:space="preserve">122%</w:t>
            </w:r>
          </w:p>
        </w:tc>
      </w:tr>
      <w:tr>
        <w:tc>
          <w:tcPr/>
          <w:p>
            <w:pPr>
              <w:pStyle w:val="Compact"/>
              <w:bidi/>
              <w:jc w:val="left"/>
            </w:pPr>
            <w:r>
              <w:rPr>
                <w:rtl/>
              </w:rPr>
              <w:t xml:space="preserve">10%</w:t>
            </w:r>
          </w:p>
        </w:tc>
        <w:tc>
          <w:tcPr/>
          <w:p>
            <w:pPr>
              <w:pStyle w:val="Compact"/>
              <w:bidi/>
              <w:jc w:val="left"/>
            </w:pPr>
            <w:r>
              <w:rPr>
                <w:rtl/>
              </w:rPr>
              <w:t xml:space="preserve">136.1</w:t>
            </w:r>
          </w:p>
        </w:tc>
        <w:tc>
          <w:tcPr/>
          <w:p>
            <w:pPr>
              <w:pStyle w:val="Compact"/>
              <w:bidi/>
              <w:jc w:val="left"/>
            </w:pPr>
            <w:r>
              <w:rPr>
                <w:rtl/>
              </w:rPr>
              <w:t xml:space="preserve">142%</w:t>
            </w:r>
          </w:p>
        </w:tc>
      </w:tr>
      <w:tr>
        <w:tc>
          <w:tcPr/>
          <w:p>
            <w:pPr>
              <w:pStyle w:val="Compact"/>
              <w:bidi/>
              <w:jc w:val="left"/>
            </w:pPr>
            <w:r>
              <w:rPr>
                <w:rtl/>
              </w:rPr>
              <w:t xml:space="preserve">12%</w:t>
            </w:r>
          </w:p>
        </w:tc>
        <w:tc>
          <w:tcPr/>
          <w:p>
            <w:pPr>
              <w:pStyle w:val="Compact"/>
              <w:bidi/>
              <w:jc w:val="left"/>
            </w:pPr>
            <w:r>
              <w:rPr>
                <w:rtl/>
              </w:rPr>
              <w:t xml:space="preserve">157.3</w:t>
            </w:r>
          </w:p>
        </w:tc>
        <w:tc>
          <w:tcPr/>
          <w:p>
            <w:pPr>
              <w:pStyle w:val="Compact"/>
              <w:bidi/>
              <w:jc w:val="left"/>
            </w:pPr>
            <w:r>
              <w:rPr>
                <w:rtl/>
              </w:rPr>
              <w:t xml:space="preserve">164%</w:t>
            </w:r>
          </w:p>
        </w:tc>
      </w:tr>
      <w:tr>
        <w:tc>
          <w:tcPr/>
          <w:p>
            <w:pPr>
              <w:pStyle w:val="Compact"/>
              <w:bidi/>
              <w:jc w:val="left"/>
            </w:pPr>
            <w:r>
              <w:rPr>
                <w:rtl/>
              </w:rPr>
              <w:t xml:space="preserve">14%</w:t>
            </w:r>
          </w:p>
        </w:tc>
        <w:tc>
          <w:tcPr/>
          <w:p>
            <w:pPr>
              <w:pStyle w:val="Compact"/>
              <w:bidi/>
              <w:jc w:val="left"/>
            </w:pPr>
            <w:r>
              <w:rPr>
                <w:rtl/>
              </w:rPr>
              <w:t xml:space="preserve">181.2</w:t>
            </w:r>
          </w:p>
        </w:tc>
        <w:tc>
          <w:tcPr/>
          <w:p>
            <w:pPr>
              <w:pStyle w:val="Compact"/>
              <w:bidi/>
              <w:jc w:val="left"/>
            </w:pPr>
            <w:r>
              <w:rPr>
                <w:rtl/>
              </w:rPr>
              <w:t xml:space="preserve">188%</w:t>
            </w:r>
          </w:p>
        </w:tc>
      </w:tr>
      <w:tr>
        <w:tc>
          <w:tcPr/>
          <w:p>
            <w:pPr>
              <w:pStyle w:val="Compact"/>
              <w:bidi/>
              <w:jc w:val="left"/>
            </w:pPr>
            <w:r>
              <w:rPr>
                <w:rtl/>
              </w:rPr>
              <w:t xml:space="preserve">14.7%</w:t>
            </w:r>
          </w:p>
        </w:tc>
        <w:tc>
          <w:tcPr/>
          <w:p>
            <w:pPr>
              <w:pStyle w:val="Compact"/>
              <w:bidi/>
              <w:jc w:val="left"/>
            </w:pPr>
            <w:r>
              <w:rPr>
                <w:rtl/>
              </w:rPr>
              <w:t xml:space="preserve">190.3</w:t>
            </w:r>
          </w:p>
        </w:tc>
        <w:tc>
          <w:tcPr/>
          <w:p>
            <w:pPr>
              <w:pStyle w:val="Compact"/>
              <w:bidi/>
              <w:jc w:val="left"/>
            </w:pPr>
            <w:r>
              <w:rPr>
                <w:rtl/>
              </w:rPr>
              <w:t xml:space="preserve">198%</w:t>
            </w:r>
          </w:p>
        </w:tc>
      </w:tr>
    </w:tbl>
    <w:p>
      <w:pPr>
        <w:pStyle w:val="BodyText"/>
        <w:bidi/>
      </w:pPr>
      <w:r>
        <w:rPr>
          <w:i/>
          <w:iCs/>
          <w:rtl/>
        </w:rPr>
        <w:t xml:space="preserve">(كل نقطة مئوية إضافية في متوسط معدل النمو السنوي، حول 6%، ترفع ناتج 2034 بنحو 8 مليارات دولار.)</w:t>
      </w:r>
    </w:p>
    <w:bookmarkEnd w:id="33"/>
    <w:bookmarkStart w:id="34" w:name="متى-ننتقل-من-سيناريو-إلى-آخر"/>
    <w:p>
      <w:pPr>
        <w:pStyle w:val="Heading2"/>
        <w:bidi/>
      </w:pPr>
      <w:r>
        <w:rPr>
          <w:rtl/>
        </w:rPr>
        <w:t xml:space="preserve">متى ننتقل من سيناريو إلى آخر؟</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المؤشر</w:t>
            </w:r>
          </w:p>
        </w:tc>
        <w:tc>
          <w:tcPr/>
          <w:p>
            <w:pPr>
              <w:pStyle w:val="Compact"/>
              <w:bidi/>
              <w:jc w:val="left"/>
            </w:pPr>
            <w:r>
              <w:rPr>
                <w:rtl/>
              </w:rPr>
              <w:t xml:space="preserve">علامة التحسن نحو الطموح</w:t>
            </w:r>
          </w:p>
        </w:tc>
        <w:tc>
          <w:tcPr/>
          <w:p>
            <w:pPr>
              <w:pStyle w:val="Compact"/>
              <w:bidi/>
              <w:jc w:val="left"/>
            </w:pPr>
            <w:r>
              <w:rPr>
                <w:rtl/>
              </w:rPr>
              <w:t xml:space="preserve">علامة التراجع نحو المتحفظ</w:t>
            </w:r>
          </w:p>
        </w:tc>
      </w:tr>
      <w:tr>
        <w:tc>
          <w:tcPr/>
          <w:p>
            <w:pPr>
              <w:pStyle w:val="Compact"/>
              <w:bidi/>
              <w:jc w:val="left"/>
            </w:pPr>
            <w:r>
              <w:rPr>
                <w:b/>
                <w:bCs/>
                <w:rtl/>
              </w:rPr>
              <w:t xml:space="preserve">الأمن</w:t>
            </w:r>
          </w:p>
        </w:tc>
        <w:tc>
          <w:tcPr/>
          <w:p>
            <w:pPr>
              <w:pStyle w:val="Compact"/>
              <w:bidi/>
              <w:jc w:val="left"/>
            </w:pPr>
            <w:r>
              <w:rPr>
                <w:rtl/>
              </w:rPr>
              <w:t xml:space="preserve">وقف نار مستقر وعودة واسعة للسكان</w:t>
            </w:r>
          </w:p>
        </w:tc>
        <w:tc>
          <w:tcPr/>
          <w:p>
            <w:pPr>
              <w:pStyle w:val="Compact"/>
              <w:bidi/>
              <w:jc w:val="left"/>
            </w:pPr>
            <w:r>
              <w:rPr>
                <w:rtl/>
              </w:rPr>
              <w:t xml:space="preserve">خروقات متكررة أو تجدد القتال</w:t>
            </w:r>
          </w:p>
        </w:tc>
      </w:tr>
      <w:tr>
        <w:tc>
          <w:tcPr/>
          <w:p>
            <w:pPr>
              <w:pStyle w:val="Compact"/>
              <w:bidi/>
              <w:jc w:val="left"/>
            </w:pPr>
            <w:r>
              <w:rPr>
                <w:b/>
                <w:bCs/>
                <w:rtl/>
              </w:rPr>
              <w:t xml:space="preserve">الإيرادات</w:t>
            </w:r>
          </w:p>
        </w:tc>
        <w:tc>
          <w:tcPr/>
          <w:p>
            <w:pPr>
              <w:pStyle w:val="Compact"/>
              <w:bidi/>
              <w:jc w:val="left"/>
            </w:pPr>
            <w:r>
              <w:rPr>
                <w:rtl/>
              </w:rPr>
              <w:t xml:space="preserve">تجاوز المسار المستهدف</w:t>
            </w:r>
          </w:p>
        </w:tc>
        <w:tc>
          <w:tcPr/>
          <w:p>
            <w:pPr>
              <w:pStyle w:val="Compact"/>
              <w:bidi/>
              <w:jc w:val="left"/>
            </w:pPr>
            <w:r>
              <w:rPr>
                <w:rtl/>
              </w:rPr>
              <w:t xml:space="preserve">تأخر عن المسار بأكثر من نقطة مئوية</w:t>
            </w:r>
          </w:p>
        </w:tc>
      </w:tr>
      <w:tr>
        <w:tc>
          <w:tcPr/>
          <w:p>
            <w:pPr>
              <w:pStyle w:val="Compact"/>
              <w:bidi/>
              <w:jc w:val="left"/>
            </w:pPr>
            <w:r>
              <w:rPr>
                <w:b/>
                <w:bCs/>
                <w:rtl/>
              </w:rPr>
              <w:t xml:space="preserve">التمويل الخارجي</w:t>
            </w:r>
          </w:p>
        </w:tc>
        <w:tc>
          <w:tcPr/>
          <w:p>
            <w:pPr>
              <w:pStyle w:val="Compact"/>
              <w:bidi/>
              <w:jc w:val="left"/>
            </w:pPr>
            <w:r>
              <w:rPr>
                <w:rtl/>
              </w:rPr>
              <w:t xml:space="preserve">تعهدات تُصرف في مواعيدها</w:t>
            </w:r>
          </w:p>
        </w:tc>
        <w:tc>
          <w:tcPr/>
          <w:p>
            <w:pPr>
              <w:pStyle w:val="Compact"/>
              <w:bidi/>
              <w:jc w:val="left"/>
            </w:pPr>
            <w:r>
              <w:rPr>
                <w:rtl/>
              </w:rPr>
              <w:t xml:space="preserve">تأخر الصرف أو تجميد التعهدات</w:t>
            </w:r>
          </w:p>
        </w:tc>
      </w:tr>
      <w:tr>
        <w:tc>
          <w:tcPr/>
          <w:p>
            <w:pPr>
              <w:pStyle w:val="Compact"/>
              <w:bidi/>
              <w:jc w:val="left"/>
            </w:pPr>
            <w:r>
              <w:rPr>
                <w:b/>
                <w:bCs/>
                <w:rtl/>
              </w:rPr>
              <w:t xml:space="preserve">الذهب</w:t>
            </w:r>
          </w:p>
        </w:tc>
        <w:tc>
          <w:tcPr/>
          <w:p>
            <w:pPr>
              <w:pStyle w:val="Compact"/>
              <w:bidi/>
              <w:jc w:val="left"/>
            </w:pPr>
            <w:r>
              <w:rPr>
                <w:rtl/>
              </w:rPr>
              <w:t xml:space="preserve">ارتفاع مطرد في الكميات المشتراة رسمياً</w:t>
            </w:r>
          </w:p>
        </w:tc>
        <w:tc>
          <w:tcPr/>
          <w:p>
            <w:pPr>
              <w:pStyle w:val="Compact"/>
              <w:bidi/>
              <w:jc w:val="left"/>
            </w:pPr>
            <w:r>
              <w:rPr>
                <w:rtl/>
              </w:rPr>
              <w:t xml:space="preserve">ثبات أو تراجع الكميات الرسمية</w:t>
            </w:r>
          </w:p>
        </w:tc>
      </w:tr>
    </w:tbl>
    <w:p>
      <w:pPr>
        <w:pStyle w:val="BodyText"/>
        <w:bidi/>
      </w:pPr>
      <w:r>
        <w:rPr>
          <w:rtl/>
        </w:rPr>
        <w:t xml:space="preserve">وتراجع الحكومة هذه المؤشرات كل ستة أشهر، وتعدّل الموازنة وفق السيناريو الأقرب إلى الواقع، وتنشر نتيجة المراجعة.</w:t>
      </w:r>
    </w:p>
    <w:p>
      <w:pPr>
        <w:bidi/>
      </w:pPr>
      <w:r>
        <w:rPr>
          <w:rtl/>
        </w:rPr>
        <w:br w:type="page"/>
      </w:r>
    </w:p>
    <w:bookmarkEnd w:id="34"/>
    <w:bookmarkEnd w:id="35"/>
    <w:bookmarkStart w:id="40" w:name="خامسا-الإطار-المالي"/>
    <w:p>
      <w:pPr>
        <w:pStyle w:val="Heading1"/>
        <w:bidi/>
      </w:pPr>
      <w:r>
        <w:rPr>
          <w:rtl/>
        </w:rPr>
        <w:t xml:space="preserve">خامساً: الإطار المالي</w:t>
      </w:r>
    </w:p>
    <w:bookmarkStart w:id="36" w:name="مسار-الإيرادات"/>
    <w:p>
      <w:pPr>
        <w:pStyle w:val="Heading2"/>
        <w:bidi/>
      </w:pPr>
      <w:r>
        <w:rPr>
          <w:rtl/>
        </w:rPr>
        <w:t xml:space="preserve">مسار الإيرادات</w:t>
      </w:r>
    </w:p>
    <w:p>
      <w:pPr>
        <w:pStyle w:val="FirstParagraph"/>
        <w:bidi/>
      </w:pPr>
      <w:r>
        <w:rPr>
          <w:b/>
          <w:bCs/>
          <w:rtl/>
        </w:rPr>
        <w:t xml:space="preserve">التعريف:</w:t>
      </w:r>
      <w:r>
        <w:rPr>
          <w:rtl/>
        </w:rPr>
        <w:t xml:space="preserve"> </w:t>
      </w:r>
      <w:r>
        <w:rPr>
          <w:rtl/>
        </w:rPr>
        <w:t xml:space="preserve">المقصود بالإيرادات العامة في هذه الورقة</w:t>
      </w:r>
      <w:r>
        <w:rPr>
          <w:rtl/>
        </w:rPr>
        <w:t xml:space="preserve"> </w:t>
      </w:r>
      <w:r>
        <w:rPr>
          <w:b/>
          <w:bCs/>
          <w:rtl/>
        </w:rPr>
        <w:t xml:space="preserve">إيرادات الحكومة العامة</w:t>
      </w:r>
      <w:r>
        <w:rPr>
          <w:rtl/>
        </w:rPr>
        <w:t xml:space="preserve"> </w:t>
      </w:r>
      <w:r>
        <w:rPr>
          <w:rtl/>
        </w:rPr>
        <w:t xml:space="preserve">(الاتحادية والإقليمية معاً)، الضريبية وغير الضريبية، بما فيها عائدات الموارد الطبيعية، منسوبة إلى</w:t>
      </w:r>
      <w:r>
        <w:rPr>
          <w:rtl/>
        </w:rPr>
        <w:t xml:space="preserve"> </w:t>
      </w:r>
      <w:r>
        <w:rPr>
          <w:b/>
          <w:bCs/>
          <w:rtl/>
        </w:rPr>
        <w:t xml:space="preserve">الناتج الاسمي</w:t>
      </w:r>
      <w:r>
        <w:rPr>
          <w:rtl/>
        </w:rPr>
        <w:t xml:space="preserve">، وفق تعريفات صندوق النقد الدولي لإحصاءات مالية الحكومة.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السنة</w:t>
            </w:r>
          </w:p>
        </w:tc>
        <w:tc>
          <w:tcPr/>
          <w:p>
            <w:pPr>
              <w:pStyle w:val="Compact"/>
              <w:bidi/>
              <w:jc w:val="left"/>
            </w:pPr>
            <w:r>
              <w:rPr>
                <w:rtl/>
              </w:rPr>
              <w:t xml:space="preserve">الإيرادات من الناتج</w:t>
            </w:r>
          </w:p>
        </w:tc>
        <w:tc>
          <w:tcPr/>
          <w:p>
            <w:pPr>
              <w:pStyle w:val="Compact"/>
              <w:bidi/>
              <w:jc w:val="left"/>
            </w:pPr>
            <w:r>
              <w:rPr>
                <w:rtl/>
              </w:rPr>
              <w:t xml:space="preserve">الإيرادات في السيناريو المعتدل (مليار دولار)</w:t>
            </w:r>
          </w:p>
        </w:tc>
      </w:tr>
      <w:tr>
        <w:tc>
          <w:tcPr/>
          <w:p>
            <w:pPr>
              <w:pStyle w:val="Compact"/>
              <w:bidi/>
              <w:jc w:val="left"/>
            </w:pPr>
            <w:r>
              <w:rPr>
                <w:rtl/>
              </w:rPr>
              <w:t xml:space="preserve">2025 (أساس)</w:t>
            </w:r>
          </w:p>
        </w:tc>
        <w:tc>
          <w:tcPr/>
          <w:p>
            <w:pPr>
              <w:pStyle w:val="Compact"/>
              <w:bidi/>
              <w:jc w:val="left"/>
            </w:pPr>
            <w:r>
              <w:rPr>
                <w:rtl/>
              </w:rPr>
              <w:t xml:space="preserve">4.2%</w:t>
            </w:r>
          </w:p>
        </w:tc>
        <w:tc>
          <w:tcPr/>
          <w:p>
            <w:pPr>
              <w:pStyle w:val="Compact"/>
              <w:bidi/>
              <w:jc w:val="left"/>
            </w:pPr>
            <w:r>
              <w:rPr>
                <w:rtl/>
              </w:rPr>
              <w:t xml:space="preserve">2.5</w:t>
            </w:r>
          </w:p>
        </w:tc>
      </w:tr>
      <w:tr>
        <w:tc>
          <w:tcPr/>
          <w:p>
            <w:pPr>
              <w:pStyle w:val="Compact"/>
              <w:bidi/>
              <w:jc w:val="left"/>
            </w:pPr>
            <w:r>
              <w:rPr>
                <w:rtl/>
              </w:rPr>
              <w:t xml:space="preserve">2027</w:t>
            </w:r>
          </w:p>
        </w:tc>
        <w:tc>
          <w:tcPr/>
          <w:p>
            <w:pPr>
              <w:pStyle w:val="Compact"/>
              <w:bidi/>
              <w:jc w:val="left"/>
            </w:pPr>
            <w:r>
              <w:rPr>
                <w:rtl/>
              </w:rPr>
              <w:t xml:space="preserve">6.5%</w:t>
            </w:r>
          </w:p>
        </w:tc>
        <w:tc>
          <w:tcPr/>
          <w:p>
            <w:pPr>
              <w:pStyle w:val="Compact"/>
              <w:bidi/>
              <w:jc w:val="left"/>
            </w:pPr>
            <w:r>
              <w:rPr>
                <w:rtl/>
              </w:rPr>
              <w:t xml:space="preserve">4.4</w:t>
            </w:r>
          </w:p>
        </w:tc>
      </w:tr>
      <w:tr>
        <w:tc>
          <w:tcPr/>
          <w:p>
            <w:pPr>
              <w:pStyle w:val="Compact"/>
              <w:bidi/>
              <w:jc w:val="left"/>
            </w:pPr>
            <w:r>
              <w:rPr>
                <w:rtl/>
              </w:rPr>
              <w:t xml:space="preserve">2029</w:t>
            </w:r>
          </w:p>
        </w:tc>
        <w:tc>
          <w:tcPr/>
          <w:p>
            <w:pPr>
              <w:pStyle w:val="Compact"/>
              <w:bidi/>
              <w:jc w:val="left"/>
            </w:pPr>
            <w:r>
              <w:rPr>
                <w:rtl/>
              </w:rPr>
              <w:t xml:space="preserve">9.5%</w:t>
            </w:r>
          </w:p>
        </w:tc>
        <w:tc>
          <w:tcPr/>
          <w:p>
            <w:pPr>
              <w:pStyle w:val="Compact"/>
              <w:bidi/>
              <w:jc w:val="left"/>
            </w:pPr>
            <w:r>
              <w:rPr>
                <w:rtl/>
              </w:rPr>
              <w:t xml:space="preserve">7.2</w:t>
            </w:r>
          </w:p>
        </w:tc>
      </w:tr>
      <w:tr>
        <w:tc>
          <w:tcPr/>
          <w:p>
            <w:pPr>
              <w:pStyle w:val="Compact"/>
              <w:bidi/>
              <w:jc w:val="left"/>
            </w:pPr>
            <w:r>
              <w:rPr>
                <w:rtl/>
              </w:rPr>
              <w:t xml:space="preserve">2031</w:t>
            </w:r>
          </w:p>
        </w:tc>
        <w:tc>
          <w:tcPr/>
          <w:p>
            <w:pPr>
              <w:pStyle w:val="Compact"/>
              <w:bidi/>
              <w:jc w:val="left"/>
            </w:pPr>
            <w:r>
              <w:rPr>
                <w:rtl/>
              </w:rPr>
              <w:t xml:space="preserve">12%</w:t>
            </w:r>
          </w:p>
        </w:tc>
        <w:tc>
          <w:tcPr/>
          <w:p>
            <w:pPr>
              <w:pStyle w:val="Compact"/>
              <w:bidi/>
              <w:jc w:val="left"/>
            </w:pPr>
            <w:r>
              <w:rPr>
                <w:rtl/>
              </w:rPr>
              <w:t xml:space="preserve">10.2</w:t>
            </w:r>
          </w:p>
        </w:tc>
      </w:tr>
      <w:tr>
        <w:tc>
          <w:tcPr/>
          <w:p>
            <w:pPr>
              <w:pStyle w:val="Compact"/>
              <w:bidi/>
              <w:jc w:val="left"/>
            </w:pPr>
            <w:r>
              <w:rPr>
                <w:rtl/>
              </w:rPr>
              <w:t xml:space="preserve">2034</w:t>
            </w:r>
          </w:p>
        </w:tc>
        <w:tc>
          <w:tcPr/>
          <w:p>
            <w:pPr>
              <w:pStyle w:val="Compact"/>
              <w:bidi/>
              <w:jc w:val="left"/>
            </w:pPr>
            <w:r>
              <w:rPr>
                <w:rtl/>
              </w:rPr>
              <w:t xml:space="preserve">15%</w:t>
            </w:r>
          </w:p>
        </w:tc>
        <w:tc>
          <w:tcPr/>
          <w:p>
            <w:pPr>
              <w:pStyle w:val="Compact"/>
              <w:bidi/>
              <w:jc w:val="left"/>
            </w:pPr>
            <w:r>
              <w:rPr>
                <w:rtl/>
              </w:rPr>
              <w:t xml:space="preserve">15.2</w:t>
            </w:r>
          </w:p>
        </w:tc>
      </w:tr>
    </w:tbl>
    <w:p>
      <w:pPr>
        <w:pStyle w:val="BodyText"/>
        <w:bidi/>
      </w:pPr>
      <w:r>
        <w:rPr>
          <w:b/>
          <w:bCs/>
          <w:rtl/>
        </w:rPr>
        <w:t xml:space="preserve">ومجموع الإيرادات خلال سنوات الرؤية الثماني:</w:t>
      </w:r>
      <w:r>
        <w:rPr>
          <w:rtl/>
        </w:rPr>
        <w:t xml:space="preserve"> </w:t>
      </w:r>
      <w:r>
        <w:rPr>
          <w:rtl/>
        </w:rPr>
        <w:t xml:space="preserve">نحو 67 مليار دولار في السيناريو المتحفظ، ونحو 76 ملياراً في المعتدل، ونحو 118 ملياراً في الطموح.</w:t>
      </w:r>
    </w:p>
    <w:bookmarkEnd w:id="36"/>
    <w:bookmarkStart w:id="37" w:name="من-أين-تأتي-الزيادة"/>
    <w:p>
      <w:pPr>
        <w:pStyle w:val="Heading2"/>
        <w:bidi/>
      </w:pPr>
      <w:r>
        <w:rPr>
          <w:rtl/>
        </w:rPr>
        <w:t xml:space="preserve">من أين تأتي الزيادة؟</w:t>
      </w:r>
    </w:p>
    <w:p>
      <w:pPr>
        <w:pStyle w:val="FirstParagraph"/>
        <w:bidi/>
      </w:pPr>
      <w:r>
        <w:rPr>
          <w:rtl/>
        </w:rPr>
        <w:t xml:space="preserve">إن رفع الإيرادات من 4.2% إلى 15% من الناتج يعني زيادة قدرها</w:t>
      </w:r>
      <w:r>
        <w:rPr>
          <w:rtl/>
        </w:rPr>
        <w:t xml:space="preserve"> </w:t>
      </w:r>
      <w:r>
        <w:rPr>
          <w:b/>
          <w:bCs/>
          <w:rtl/>
        </w:rPr>
        <w:t xml:space="preserve">10.8 نقاط مئوية من الناتج</w:t>
      </w:r>
      <w:r>
        <w:rPr>
          <w:rtl/>
        </w:rPr>
        <w:t xml:space="preserve">. وهذا تحول ضخم لا يتحقق بإجراء واحد. والجدول التالي</w:t>
      </w:r>
      <w:r>
        <w:rPr>
          <w:rtl/>
        </w:rPr>
        <w:t xml:space="preserve"> </w:t>
      </w:r>
      <w:r>
        <w:rPr>
          <w:b/>
          <w:bCs/>
          <w:rtl/>
        </w:rPr>
        <w:t xml:space="preserve">تقدير نطاقي توضيحي للتخطيط</w:t>
      </w:r>
      <w:r>
        <w:rPr>
          <w:rtl/>
        </w:rPr>
        <w:t xml:space="preserve">، يبيّن مساهمة كل مصدر في الزيادة (بالنقاط المئوية من الناتج، فوق مستوى 2025):</w:t>
      </w:r>
    </w:p>
    <w:tbl>
      <w:tblPr>
        <w:tblStyle w:val="Table"/>
        <w:bidiVisual/>
        <w:tblW w:w="5000" w:type="pct"/>
        <w:jc w:val="start"/>
        <w:tblLook w:val="04A0" w:firstRow="1" w:lastRow="0" w:firstColumn="0" w:lastColumn="0" w:noHBand="0" w:noVBand="1"/>
      </w:tblPr>
      <w:tblGrid>
        <w:gridCol w:w="1584"/>
        <w:gridCol w:w="1584"/>
        <w:gridCol w:w="1584"/>
        <w:gridCol w:w="1584"/>
        <w:gridCol w:w="1584"/>
      </w:tblGrid>
      <w:tr>
        <w:trPr>
          <w:tblHeader w:val="true"/>
        </w:trPr>
        <w:tc>
          <w:tcPr/>
          <w:p>
            <w:pPr>
              <w:pStyle w:val="Compact"/>
              <w:bidi/>
              <w:jc w:val="left"/>
            </w:pPr>
            <w:r>
              <w:rPr>
                <w:rtl/>
              </w:rPr>
              <w:t xml:space="preserve">مصدر الزيادة</w:t>
            </w:r>
          </w:p>
        </w:tc>
        <w:tc>
          <w:tcPr/>
          <w:p>
            <w:pPr>
              <w:pStyle w:val="Compact"/>
              <w:bidi/>
              <w:jc w:val="left"/>
            </w:pPr>
            <w:r>
              <w:rPr>
                <w:rtl/>
              </w:rPr>
              <w:t xml:space="preserve">2027</w:t>
            </w:r>
          </w:p>
        </w:tc>
        <w:tc>
          <w:tcPr/>
          <w:p>
            <w:pPr>
              <w:pStyle w:val="Compact"/>
              <w:bidi/>
              <w:jc w:val="left"/>
            </w:pPr>
            <w:r>
              <w:rPr>
                <w:rtl/>
              </w:rPr>
              <w:t xml:space="preserve">2029</w:t>
            </w:r>
          </w:p>
        </w:tc>
        <w:tc>
          <w:tcPr/>
          <w:p>
            <w:pPr>
              <w:pStyle w:val="Compact"/>
              <w:bidi/>
              <w:jc w:val="left"/>
            </w:pPr>
            <w:r>
              <w:rPr>
                <w:rtl/>
              </w:rPr>
              <w:t xml:space="preserve">2031</w:t>
            </w:r>
          </w:p>
        </w:tc>
        <w:tc>
          <w:tcPr/>
          <w:p>
            <w:pPr>
              <w:pStyle w:val="Compact"/>
              <w:bidi/>
              <w:jc w:val="left"/>
            </w:pPr>
            <w:r>
              <w:rPr>
                <w:rtl/>
              </w:rPr>
              <w:t xml:space="preserve">2034</w:t>
            </w:r>
          </w:p>
        </w:tc>
      </w:tr>
      <w:tr>
        <w:tc>
          <w:tcPr/>
          <w:p>
            <w:pPr>
              <w:pStyle w:val="Compact"/>
              <w:bidi/>
              <w:jc w:val="left"/>
            </w:pPr>
            <w:r>
              <w:rPr>
                <w:rtl/>
              </w:rPr>
              <w:t xml:space="preserve">الذهب (إتاوات ورسوم وضرائب)</w:t>
            </w:r>
          </w:p>
        </w:tc>
        <w:tc>
          <w:tcPr/>
          <w:p>
            <w:pPr>
              <w:pStyle w:val="Compact"/>
              <w:bidi/>
              <w:jc w:val="left"/>
            </w:pPr>
            <w:r>
              <w:rPr>
                <w:rtl/>
              </w:rPr>
              <w:t xml:space="preserve">0.5</w:t>
            </w:r>
          </w:p>
        </w:tc>
        <w:tc>
          <w:tcPr/>
          <w:p>
            <w:pPr>
              <w:pStyle w:val="Compact"/>
              <w:bidi/>
              <w:jc w:val="left"/>
            </w:pPr>
            <w:r>
              <w:rPr>
                <w:rtl/>
              </w:rPr>
              <w:t xml:space="preserve">1.0</w:t>
            </w:r>
          </w:p>
        </w:tc>
        <w:tc>
          <w:tcPr/>
          <w:p>
            <w:pPr>
              <w:pStyle w:val="Compact"/>
              <w:bidi/>
              <w:jc w:val="left"/>
            </w:pPr>
            <w:r>
              <w:rPr>
                <w:rtl/>
              </w:rPr>
              <w:t xml:space="preserve">1.3</w:t>
            </w:r>
          </w:p>
        </w:tc>
        <w:tc>
          <w:tcPr/>
          <w:p>
            <w:pPr>
              <w:pStyle w:val="Compact"/>
              <w:bidi/>
              <w:jc w:val="left"/>
            </w:pPr>
            <w:r>
              <w:rPr>
                <w:rtl/>
              </w:rPr>
              <w:t xml:space="preserve">1.5</w:t>
            </w:r>
          </w:p>
        </w:tc>
      </w:tr>
      <w:tr>
        <w:tc>
          <w:tcPr/>
          <w:p>
            <w:pPr>
              <w:pStyle w:val="Compact"/>
              <w:bidi/>
              <w:jc w:val="left"/>
            </w:pPr>
            <w:r>
              <w:rPr>
                <w:rtl/>
              </w:rPr>
              <w:t xml:space="preserve">الجمارك (الرقمنة وتوحيد سعر الصرف)</w:t>
            </w:r>
          </w:p>
        </w:tc>
        <w:tc>
          <w:tcPr/>
          <w:p>
            <w:pPr>
              <w:pStyle w:val="Compact"/>
              <w:bidi/>
              <w:jc w:val="left"/>
            </w:pPr>
            <w:r>
              <w:rPr>
                <w:rtl/>
              </w:rPr>
              <w:t xml:space="preserve">0.6</w:t>
            </w:r>
          </w:p>
        </w:tc>
        <w:tc>
          <w:tcPr/>
          <w:p>
            <w:pPr>
              <w:pStyle w:val="Compact"/>
              <w:bidi/>
              <w:jc w:val="left"/>
            </w:pPr>
            <w:r>
              <w:rPr>
                <w:rtl/>
              </w:rPr>
              <w:t xml:space="preserve">1.2</w:t>
            </w:r>
          </w:p>
        </w:tc>
        <w:tc>
          <w:tcPr/>
          <w:p>
            <w:pPr>
              <w:pStyle w:val="Compact"/>
              <w:bidi/>
              <w:jc w:val="left"/>
            </w:pPr>
            <w:r>
              <w:rPr>
                <w:rtl/>
              </w:rPr>
              <w:t xml:space="preserve">1.6</w:t>
            </w:r>
          </w:p>
        </w:tc>
        <w:tc>
          <w:tcPr/>
          <w:p>
            <w:pPr>
              <w:pStyle w:val="Compact"/>
              <w:bidi/>
              <w:jc w:val="left"/>
            </w:pPr>
            <w:r>
              <w:rPr>
                <w:rtl/>
              </w:rPr>
              <w:t xml:space="preserve">2.0</w:t>
            </w:r>
          </w:p>
        </w:tc>
      </w:tr>
      <w:tr>
        <w:tc>
          <w:tcPr/>
          <w:p>
            <w:pPr>
              <w:pStyle w:val="Compact"/>
              <w:bidi/>
              <w:jc w:val="left"/>
            </w:pPr>
            <w:r>
              <w:rPr>
                <w:rtl/>
              </w:rPr>
              <w:t xml:space="preserve">الضرائب غير المباشرة (توسيع القاعدة)</w:t>
            </w:r>
          </w:p>
        </w:tc>
        <w:tc>
          <w:tcPr/>
          <w:p>
            <w:pPr>
              <w:pStyle w:val="Compact"/>
              <w:bidi/>
              <w:jc w:val="left"/>
            </w:pPr>
            <w:r>
              <w:rPr>
                <w:rtl/>
              </w:rPr>
              <w:t xml:space="preserve">0.5</w:t>
            </w:r>
          </w:p>
        </w:tc>
        <w:tc>
          <w:tcPr/>
          <w:p>
            <w:pPr>
              <w:pStyle w:val="Compact"/>
              <w:bidi/>
              <w:jc w:val="left"/>
            </w:pPr>
            <w:r>
              <w:rPr>
                <w:rtl/>
              </w:rPr>
              <w:t xml:space="preserve">1.2</w:t>
            </w:r>
          </w:p>
        </w:tc>
        <w:tc>
          <w:tcPr/>
          <w:p>
            <w:pPr>
              <w:pStyle w:val="Compact"/>
              <w:bidi/>
              <w:jc w:val="left"/>
            </w:pPr>
            <w:r>
              <w:rPr>
                <w:rtl/>
              </w:rPr>
              <w:t xml:space="preserve">1.8</w:t>
            </w:r>
          </w:p>
        </w:tc>
        <w:tc>
          <w:tcPr/>
          <w:p>
            <w:pPr>
              <w:pStyle w:val="Compact"/>
              <w:bidi/>
              <w:jc w:val="left"/>
            </w:pPr>
            <w:r>
              <w:rPr>
                <w:rtl/>
              </w:rPr>
              <w:t xml:space="preserve">2.5</w:t>
            </w:r>
          </w:p>
        </w:tc>
      </w:tr>
      <w:tr>
        <w:tc>
          <w:tcPr/>
          <w:p>
            <w:pPr>
              <w:pStyle w:val="Compact"/>
              <w:bidi/>
              <w:jc w:val="left"/>
            </w:pPr>
            <w:r>
              <w:rPr>
                <w:rtl/>
              </w:rPr>
              <w:t xml:space="preserve">الضرائب المباشرة، بما فيها الشركات المنقولة من الأجهزة النظامية</w:t>
            </w:r>
          </w:p>
        </w:tc>
        <w:tc>
          <w:tcPr/>
          <w:p>
            <w:pPr>
              <w:pStyle w:val="Compact"/>
              <w:bidi/>
              <w:jc w:val="left"/>
            </w:pPr>
            <w:r>
              <w:rPr>
                <w:rtl/>
              </w:rPr>
              <w:t xml:space="preserve">0.3</w:t>
            </w:r>
          </w:p>
        </w:tc>
        <w:tc>
          <w:tcPr/>
          <w:p>
            <w:pPr>
              <w:pStyle w:val="Compact"/>
              <w:bidi/>
              <w:jc w:val="left"/>
            </w:pPr>
            <w:r>
              <w:rPr>
                <w:rtl/>
              </w:rPr>
              <w:t xml:space="preserve">0.9</w:t>
            </w:r>
          </w:p>
        </w:tc>
        <w:tc>
          <w:tcPr/>
          <w:p>
            <w:pPr>
              <w:pStyle w:val="Compact"/>
              <w:bidi/>
              <w:jc w:val="left"/>
            </w:pPr>
            <w:r>
              <w:rPr>
                <w:rtl/>
              </w:rPr>
              <w:t xml:space="preserve">1.4</w:t>
            </w:r>
          </w:p>
        </w:tc>
        <w:tc>
          <w:tcPr/>
          <w:p>
            <w:pPr>
              <w:pStyle w:val="Compact"/>
              <w:bidi/>
              <w:jc w:val="left"/>
            </w:pPr>
            <w:r>
              <w:rPr>
                <w:rtl/>
              </w:rPr>
              <w:t xml:space="preserve">2.0</w:t>
            </w:r>
          </w:p>
        </w:tc>
      </w:tr>
      <w:tr>
        <w:tc>
          <w:tcPr/>
          <w:p>
            <w:pPr>
              <w:pStyle w:val="Compact"/>
              <w:bidi/>
              <w:jc w:val="left"/>
            </w:pPr>
            <w:r>
              <w:rPr>
                <w:rtl/>
              </w:rPr>
              <w:t xml:space="preserve">النفط ورسوم عبور نفط جنوب السودان</w:t>
            </w:r>
          </w:p>
        </w:tc>
        <w:tc>
          <w:tcPr/>
          <w:p>
            <w:pPr>
              <w:pStyle w:val="Compact"/>
              <w:bidi/>
              <w:jc w:val="left"/>
            </w:pPr>
            <w:r>
              <w:rPr>
                <w:rtl/>
              </w:rPr>
              <w:t xml:space="preserve">0.3</w:t>
            </w:r>
          </w:p>
        </w:tc>
        <w:tc>
          <w:tcPr/>
          <w:p>
            <w:pPr>
              <w:pStyle w:val="Compact"/>
              <w:bidi/>
              <w:jc w:val="left"/>
            </w:pPr>
            <w:r>
              <w:rPr>
                <w:rtl/>
              </w:rPr>
              <w:t xml:space="preserve">0.5</w:t>
            </w:r>
          </w:p>
        </w:tc>
        <w:tc>
          <w:tcPr/>
          <w:p>
            <w:pPr>
              <w:pStyle w:val="Compact"/>
              <w:bidi/>
              <w:jc w:val="left"/>
            </w:pPr>
            <w:r>
              <w:rPr>
                <w:rtl/>
              </w:rPr>
              <w:t xml:space="preserve">0.6</w:t>
            </w:r>
          </w:p>
        </w:tc>
        <w:tc>
          <w:tcPr/>
          <w:p>
            <w:pPr>
              <w:pStyle w:val="Compact"/>
              <w:bidi/>
              <w:jc w:val="left"/>
            </w:pPr>
            <w:r>
              <w:rPr>
                <w:rtl/>
              </w:rPr>
              <w:t xml:space="preserve">0.7</w:t>
            </w:r>
          </w:p>
        </w:tc>
      </w:tr>
      <w:tr>
        <w:tc>
          <w:tcPr/>
          <w:p>
            <w:pPr>
              <w:pStyle w:val="Compact"/>
              <w:bidi/>
              <w:jc w:val="left"/>
            </w:pPr>
            <w:r>
              <w:rPr>
                <w:rtl/>
              </w:rPr>
              <w:t xml:space="preserve">إدخال النشاط غير الرسمي والإدارة الضريبية الرقمية</w:t>
            </w:r>
          </w:p>
        </w:tc>
        <w:tc>
          <w:tcPr/>
          <w:p>
            <w:pPr>
              <w:pStyle w:val="Compact"/>
              <w:bidi/>
              <w:jc w:val="left"/>
            </w:pPr>
            <w:r>
              <w:rPr>
                <w:rtl/>
              </w:rPr>
              <w:t xml:space="preserve">0.1</w:t>
            </w:r>
          </w:p>
        </w:tc>
        <w:tc>
          <w:tcPr/>
          <w:p>
            <w:pPr>
              <w:pStyle w:val="Compact"/>
              <w:bidi/>
              <w:jc w:val="left"/>
            </w:pPr>
            <w:r>
              <w:rPr>
                <w:rtl/>
              </w:rPr>
              <w:t xml:space="preserve">0.5</w:t>
            </w:r>
          </w:p>
        </w:tc>
        <w:tc>
          <w:tcPr/>
          <w:p>
            <w:pPr>
              <w:pStyle w:val="Compact"/>
              <w:bidi/>
              <w:jc w:val="left"/>
            </w:pPr>
            <w:r>
              <w:rPr>
                <w:rtl/>
              </w:rPr>
              <w:t xml:space="preserve">1.1</w:t>
            </w:r>
          </w:p>
        </w:tc>
        <w:tc>
          <w:tcPr/>
          <w:p>
            <w:pPr>
              <w:pStyle w:val="Compact"/>
              <w:bidi/>
              <w:jc w:val="left"/>
            </w:pPr>
            <w:r>
              <w:rPr>
                <w:rtl/>
              </w:rPr>
              <w:t xml:space="preserve">2.1</w:t>
            </w:r>
          </w:p>
        </w:tc>
      </w:tr>
      <w:tr>
        <w:tc>
          <w:tcPr/>
          <w:p>
            <w:pPr>
              <w:pStyle w:val="Compact"/>
              <w:bidi/>
              <w:jc w:val="left"/>
            </w:pPr>
            <w:r>
              <w:rPr>
                <w:b/>
                <w:bCs/>
                <w:rtl/>
              </w:rPr>
              <w:t xml:space="preserve">مجموع الزيادة</w:t>
            </w:r>
          </w:p>
        </w:tc>
        <w:tc>
          <w:tcPr/>
          <w:p>
            <w:pPr>
              <w:pStyle w:val="Compact"/>
              <w:bidi/>
              <w:jc w:val="left"/>
            </w:pPr>
            <w:r>
              <w:rPr>
                <w:b/>
                <w:bCs/>
                <w:rtl/>
              </w:rPr>
              <w:t xml:space="preserve">2.3</w:t>
            </w:r>
          </w:p>
        </w:tc>
        <w:tc>
          <w:tcPr/>
          <w:p>
            <w:pPr>
              <w:pStyle w:val="Compact"/>
              <w:bidi/>
              <w:jc w:val="left"/>
            </w:pPr>
            <w:r>
              <w:rPr>
                <w:b/>
                <w:bCs/>
                <w:rtl/>
              </w:rPr>
              <w:t xml:space="preserve">5.3</w:t>
            </w:r>
          </w:p>
        </w:tc>
        <w:tc>
          <w:tcPr/>
          <w:p>
            <w:pPr>
              <w:pStyle w:val="Compact"/>
              <w:bidi/>
              <w:jc w:val="left"/>
            </w:pPr>
            <w:r>
              <w:rPr>
                <w:b/>
                <w:bCs/>
                <w:rtl/>
              </w:rPr>
              <w:t xml:space="preserve">7.8</w:t>
            </w:r>
          </w:p>
        </w:tc>
        <w:tc>
          <w:tcPr/>
          <w:p>
            <w:pPr>
              <w:pStyle w:val="Compact"/>
              <w:bidi/>
              <w:jc w:val="left"/>
            </w:pPr>
            <w:r>
              <w:rPr>
                <w:b/>
                <w:bCs/>
                <w:rtl/>
              </w:rPr>
              <w:t xml:space="preserve">10.8</w:t>
            </w:r>
          </w:p>
        </w:tc>
      </w:tr>
      <w:tr>
        <w:tc>
          <w:tcPr/>
          <w:p>
            <w:pPr>
              <w:pStyle w:val="Compact"/>
              <w:bidi/>
              <w:jc w:val="left"/>
            </w:pPr>
            <w:r>
              <w:rPr>
                <w:b/>
                <w:bCs/>
                <w:rtl/>
              </w:rPr>
              <w:t xml:space="preserve">الإيرادات من الناتج</w:t>
            </w:r>
          </w:p>
        </w:tc>
        <w:tc>
          <w:tcPr/>
          <w:p>
            <w:pPr>
              <w:pStyle w:val="Compact"/>
              <w:bidi/>
              <w:jc w:val="left"/>
            </w:pPr>
            <w:r>
              <w:rPr>
                <w:b/>
                <w:bCs/>
                <w:rtl/>
              </w:rPr>
              <w:t xml:space="preserve">6.5%</w:t>
            </w:r>
          </w:p>
        </w:tc>
        <w:tc>
          <w:tcPr/>
          <w:p>
            <w:pPr>
              <w:pStyle w:val="Compact"/>
              <w:bidi/>
              <w:jc w:val="left"/>
            </w:pPr>
            <w:r>
              <w:rPr>
                <w:b/>
                <w:bCs/>
                <w:rtl/>
              </w:rPr>
              <w:t xml:space="preserve">9.5%</w:t>
            </w:r>
          </w:p>
        </w:tc>
        <w:tc>
          <w:tcPr/>
          <w:p>
            <w:pPr>
              <w:pStyle w:val="Compact"/>
              <w:bidi/>
              <w:jc w:val="left"/>
            </w:pPr>
            <w:r>
              <w:rPr>
                <w:b/>
                <w:bCs/>
                <w:rtl/>
              </w:rPr>
              <w:t xml:space="preserve">12%</w:t>
            </w:r>
          </w:p>
        </w:tc>
        <w:tc>
          <w:tcPr/>
          <w:p>
            <w:pPr>
              <w:pStyle w:val="Compact"/>
              <w:bidi/>
              <w:jc w:val="left"/>
            </w:pPr>
            <w:r>
              <w:rPr>
                <w:b/>
                <w:bCs/>
                <w:rtl/>
              </w:rPr>
              <w:t xml:space="preserve">15%</w:t>
            </w:r>
          </w:p>
        </w:tc>
      </w:tr>
    </w:tbl>
    <w:p>
      <w:pPr>
        <w:pStyle w:val="BodyText"/>
        <w:bidi/>
      </w:pPr>
      <w:r>
        <w:rPr>
          <w:b/>
          <w:bCs/>
          <w:rtl/>
        </w:rPr>
        <w:t xml:space="preserve">وملاحظتان على هذا الجدول:</w:t>
      </w:r>
    </w:p>
    <w:p>
      <w:pPr>
        <w:pStyle w:val="Compact"/>
        <w:numPr>
          <w:ilvl w:val="0"/>
          <w:numId w:val="1002"/>
        </w:numPr>
        <w:bidi/>
      </w:pPr>
      <w:r>
        <w:rPr>
          <w:b/>
          <w:bCs/>
          <w:rtl/>
        </w:rPr>
        <w:t xml:space="preserve">قيمة الذهب المهرَّب ليست إيراداً للموازنة.</w:t>
      </w:r>
      <w:r>
        <w:rPr>
          <w:rtl/>
        </w:rPr>
        <w:t xml:space="preserve"> </w:t>
      </w:r>
      <w:r>
        <w:rPr>
          <w:rtl/>
        </w:rPr>
        <w:t xml:space="preserve">فإذا عاد الذهب إلى القنوات الرسمية، تكسب الدولة النقد الأجنبي واستقرار سعر الصرف، أما الموازنة فتحصل فقط على نصيبها من الإتاوات والرسوم والضرائب.</w:t>
      </w:r>
    </w:p>
    <w:p>
      <w:pPr>
        <w:pStyle w:val="Compact"/>
        <w:numPr>
          <w:ilvl w:val="0"/>
          <w:numId w:val="1002"/>
        </w:numPr>
        <w:bidi/>
      </w:pPr>
      <w:r>
        <w:rPr>
          <w:b/>
          <w:bCs/>
          <w:rtl/>
        </w:rPr>
        <w:t xml:space="preserve">الشركات المنقولة من الأجهزة النظامية لا يُعتمد عليها رقمياً</w:t>
      </w:r>
      <w:r>
        <w:rPr>
          <w:rtl/>
        </w:rPr>
        <w:t xml:space="preserve"> </w:t>
      </w:r>
      <w:r>
        <w:rPr>
          <w:rtl/>
        </w:rPr>
        <w:t xml:space="preserve">قبل جردها. فلا توجد اليوم قاعدة بيانات عامة موثوقة تحصرها، ولذلك لا تبني الورقة أي رقم إيرادي على التقديرات المتداولة عنها، وتعتبر إنشاء سجل علني لها إجراءً أولياً.</w:t>
      </w:r>
    </w:p>
    <w:bookmarkEnd w:id="37"/>
    <w:bookmarkStart w:id="38" w:name="قيد-الإنفاق-الدفاعي"/>
    <w:p>
      <w:pPr>
        <w:pStyle w:val="Heading2"/>
        <w:bidi/>
      </w:pPr>
      <w:r>
        <w:rPr>
          <w:rtl/>
        </w:rPr>
        <w:t xml:space="preserve">قيد الإنفاق الدفاعي</w:t>
      </w:r>
    </w:p>
    <w:p>
      <w:pPr>
        <w:pStyle w:val="FirstParagraph"/>
        <w:bidi/>
      </w:pPr>
      <w:r>
        <w:rPr>
          <w:b/>
          <w:bCs/>
          <w:rtl/>
        </w:rPr>
        <w:t xml:space="preserve">السقف المزدوج.</w:t>
      </w:r>
      <w:r>
        <w:rPr>
          <w:rtl/>
        </w:rPr>
        <w:t xml:space="preserve"> </w:t>
      </w:r>
      <w:r>
        <w:rPr>
          <w:rtl/>
        </w:rPr>
        <w:t xml:space="preserve">يحكم الإنفاق الدفاعي سقفان يجب استيفاؤهما معاً:</w:t>
      </w:r>
      <w:r>
        <w:rPr>
          <w:rtl/>
        </w:rPr>
        <w:t xml:space="preserve"> </w:t>
      </w:r>
      <w:r>
        <w:rPr>
          <w:b/>
          <w:bCs/>
          <w:rtl/>
        </w:rPr>
        <w:t xml:space="preserve">3% من الناتج و15% من إجمالي الإنفاق العام في السلم؛ و5% من الناتج و25% من الإنفاق العام في الحرب المعلنة؛ وحتى 8% و30% في حرب شاملة لمدة محددة بقرار تشريعي.</w:t>
      </w:r>
      <w:r>
        <w:rPr>
          <w:rtl/>
        </w:rPr>
        <w:t xml:space="preserve"> </w:t>
      </w:r>
      <w:r>
        <w:rPr>
          <w:rtl/>
        </w:rPr>
        <w:t xml:space="preserve">والسقف مزدوج لسبب سوداني محدد:</w:t>
      </w:r>
      <w:r>
        <w:rPr>
          <w:rtl/>
        </w:rPr>
        <w:t xml:space="preserve"> </w:t>
      </w:r>
      <w:r>
        <w:rPr>
          <w:b/>
          <w:bCs/>
          <w:rtl/>
        </w:rPr>
        <w:t xml:space="preserve">النسبة من الناتج وحدها تخدع</w:t>
      </w:r>
      <w:r>
        <w:rPr>
          <w:rtl/>
        </w:rPr>
        <w:t xml:space="preserve">. فحين ينكمش الناتج تبدو النسبة مرتفعة والمبلغ ضئيلاً لا يكفي لبناء جيش، وحين تضعف الإيرادات يبتلع الدفاع الموازنة وهو دون سقفه من الناتج.</w:t>
      </w:r>
    </w:p>
    <w:p>
      <w:pPr>
        <w:pStyle w:val="BodyText"/>
        <w:bidi/>
      </w:pPr>
      <w:r>
        <w:rPr>
          <w:b/>
          <w:bCs/>
          <w:rtl/>
        </w:rPr>
        <w:t xml:space="preserve">ماذا يشمل السقف؟</w:t>
      </w:r>
      <w:r>
        <w:rPr>
          <w:rtl/>
        </w:rPr>
        <w:t xml:space="preserve"> </w:t>
      </w:r>
      <w:r>
        <w:rPr>
          <w:rtl/>
        </w:rPr>
        <w:t xml:space="preserve">الإنفاق الدفاعي بمعناه الواسع: القوات المسلحة وقوة الاحتياط والتصنيع الحربي؛ والدعم الحكومي المباشر وغير المباشر؛</w:t>
      </w:r>
      <w:r>
        <w:rPr>
          <w:rtl/>
        </w:rPr>
        <w:t xml:space="preserve"> </w:t>
      </w:r>
      <w:r>
        <w:rPr>
          <w:b/>
          <w:bCs/>
          <w:rtl/>
        </w:rPr>
        <w:t xml:space="preserve">وأي إنفاق عسكري خارج الموازنة</w:t>
      </w:r>
      <w:r>
        <w:rPr>
          <w:rtl/>
        </w:rPr>
        <w:t xml:space="preserve">؛</w:t>
      </w:r>
      <w:r>
        <w:rPr>
          <w:rtl/>
        </w:rPr>
        <w:t xml:space="preserve"> </w:t>
      </w:r>
      <w:r>
        <w:rPr>
          <w:b/>
          <w:bCs/>
          <w:rtl/>
        </w:rPr>
        <w:t xml:space="preserve">وأي موارد تخصصها للقوات المسلحة مؤسسات اقتصادية تابعة لها.</w:t>
      </w:r>
      <w:r>
        <w:rPr>
          <w:rtl/>
        </w:rPr>
        <w:t xml:space="preserve"> </w:t>
      </w:r>
      <w:r>
        <w:rPr>
          <w:rtl/>
        </w:rPr>
        <w:t xml:space="preserve">ولا يشمل الشرطة وحرس الحدود، اللذين يُمولان من بنود الأمن الداخلي، ولا برامج الدمج والتسريح وإصلاح قطاع الأمن، التي يُتوقع أن يمولها الشركاء الدوليون في أغلبها.</w:t>
      </w:r>
    </w:p>
    <w:p>
      <w:pPr>
        <w:pStyle w:val="BodyText"/>
        <w:bidi/>
      </w:pPr>
      <w:r>
        <w:rPr>
          <w:b/>
          <w:bCs/>
          <w:rtl/>
        </w:rPr>
        <w:t xml:space="preserve">وتُفصل ميزانية الجيش الدائمة عن اعتماد الحرب الاستثنائي</w:t>
      </w:r>
      <w:r>
        <w:rPr>
          <w:rtl/>
        </w:rPr>
        <w:t xml:space="preserve">، فينتهي الثاني بانتهاء الحرب ولا يُرحَّل إلى الميزانية الدائمة، ويُخفَّض الإنفاق إلى سقف السلم خلال ثلاث سنوات على الأكثر.</w:t>
      </w:r>
    </w:p>
    <w:p>
      <w:pPr>
        <w:pStyle w:val="BodyText"/>
        <w:bidi/>
      </w:pPr>
      <w:r>
        <w:rPr>
          <w:b/>
          <w:bCs/>
          <w:rtl/>
        </w:rPr>
        <w:t xml:space="preserve">ولماذا 3% لا 5%؟</w:t>
      </w:r>
      <w:r>
        <w:rPr>
          <w:rtl/>
        </w:rPr>
        <w:t xml:space="preserve"> </w:t>
      </w:r>
      <w:r>
        <w:rPr>
          <w:rtl/>
        </w:rPr>
        <w:t xml:space="preserve">لأن متوسط الإنفاق العسكري العالمي نحو 2.5% من الناتج، ومتوسط الدول التي خاضت نزاعات عالية الكثافة نحو 4.4% (بيانات معهد ستوكهولم لأبحاث السلام). و</w:t>
      </w:r>
      <w:r>
        <w:rPr>
          <w:b/>
          <w:bCs/>
          <w:rtl/>
        </w:rPr>
        <w:t xml:space="preserve">3% تكفي جيشاً مهنياً منضبط الحجم، ولا تكفي جيشاً متضخماً</w:t>
      </w:r>
      <w:r>
        <w:rPr>
          <w:rtl/>
        </w:rPr>
        <w:t xml:space="preserve">، وهذا مقصود: فالجيش الذي لا يكفيه السقف هو جيش يحتاج إلى دمج وتسريح لا إلى موازنة أكبر.</w:t>
      </w:r>
    </w:p>
    <w:p>
      <w:pPr>
        <w:pStyle w:val="BodyText"/>
        <w:bidi/>
      </w:pPr>
      <w:r>
        <w:rPr>
          <w:b/>
          <w:bCs/>
          <w:rtl/>
        </w:rPr>
        <w:t xml:space="preserve">والأثر المالي بالسقف الجديد:</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السنة</w:t>
            </w:r>
          </w:p>
        </w:tc>
        <w:tc>
          <w:tcPr/>
          <w:p>
            <w:pPr>
              <w:pStyle w:val="Compact"/>
              <w:bidi/>
              <w:jc w:val="left"/>
            </w:pPr>
            <w:r>
              <w:rPr>
                <w:rtl/>
              </w:rPr>
              <w:t xml:space="preserve">الإيرادات (مليار $)</w:t>
            </w:r>
          </w:p>
        </w:tc>
        <w:tc>
          <w:tcPr/>
          <w:p>
            <w:pPr>
              <w:pStyle w:val="Compact"/>
              <w:bidi/>
              <w:jc w:val="left"/>
            </w:pPr>
            <w:r>
              <w:rPr>
                <w:rtl/>
              </w:rPr>
              <w:t xml:space="preserve">الدفاع عند 3% من الناتج (مليار $)</w:t>
            </w:r>
          </w:p>
        </w:tc>
        <w:tc>
          <w:tcPr/>
          <w:p>
            <w:pPr>
              <w:pStyle w:val="Compact"/>
              <w:bidi/>
              <w:jc w:val="left"/>
            </w:pPr>
            <w:r>
              <w:rPr>
                <w:rtl/>
              </w:rPr>
              <w:t xml:space="preserve">نصيب الدفاع من الإيرادات</w:t>
            </w:r>
          </w:p>
        </w:tc>
      </w:tr>
      <w:tr>
        <w:tc>
          <w:tcPr/>
          <w:p>
            <w:pPr>
              <w:pStyle w:val="Compact"/>
              <w:bidi/>
              <w:jc w:val="left"/>
            </w:pPr>
            <w:r>
              <w:rPr>
                <w:rtl/>
              </w:rPr>
              <w:t xml:space="preserve">2027</w:t>
            </w:r>
          </w:p>
        </w:tc>
        <w:tc>
          <w:tcPr/>
          <w:p>
            <w:pPr>
              <w:pStyle w:val="Compact"/>
              <w:bidi/>
              <w:jc w:val="left"/>
            </w:pPr>
            <w:r>
              <w:rPr>
                <w:rtl/>
              </w:rPr>
              <w:t xml:space="preserve">4.4</w:t>
            </w:r>
          </w:p>
        </w:tc>
        <w:tc>
          <w:tcPr/>
          <w:p>
            <w:pPr>
              <w:pStyle w:val="Compact"/>
              <w:bidi/>
              <w:jc w:val="left"/>
            </w:pPr>
            <w:r>
              <w:rPr>
                <w:rtl/>
              </w:rPr>
              <w:t xml:space="preserve">2.0</w:t>
            </w:r>
          </w:p>
        </w:tc>
        <w:tc>
          <w:tcPr/>
          <w:p>
            <w:pPr>
              <w:pStyle w:val="Compact"/>
              <w:bidi/>
              <w:jc w:val="left"/>
            </w:pPr>
            <w:r>
              <w:rPr>
                <w:rtl/>
              </w:rPr>
              <w:t xml:space="preserve">نحو 46%</w:t>
            </w:r>
          </w:p>
        </w:tc>
      </w:tr>
      <w:tr>
        <w:tc>
          <w:tcPr/>
          <w:p>
            <w:pPr>
              <w:pStyle w:val="Compact"/>
              <w:bidi/>
              <w:jc w:val="left"/>
            </w:pPr>
            <w:r>
              <w:rPr>
                <w:rtl/>
              </w:rPr>
              <w:t xml:space="preserve">2029</w:t>
            </w:r>
          </w:p>
        </w:tc>
        <w:tc>
          <w:tcPr/>
          <w:p>
            <w:pPr>
              <w:pStyle w:val="Compact"/>
              <w:bidi/>
              <w:jc w:val="left"/>
            </w:pPr>
            <w:r>
              <w:rPr>
                <w:rtl/>
              </w:rPr>
              <w:t xml:space="preserve">7.2</w:t>
            </w:r>
          </w:p>
        </w:tc>
        <w:tc>
          <w:tcPr/>
          <w:p>
            <w:pPr>
              <w:pStyle w:val="Compact"/>
              <w:bidi/>
              <w:jc w:val="left"/>
            </w:pPr>
            <w:r>
              <w:rPr>
                <w:rtl/>
              </w:rPr>
              <w:t xml:space="preserve">2.3</w:t>
            </w:r>
          </w:p>
        </w:tc>
        <w:tc>
          <w:tcPr/>
          <w:p>
            <w:pPr>
              <w:pStyle w:val="Compact"/>
              <w:bidi/>
              <w:jc w:val="left"/>
            </w:pPr>
            <w:r>
              <w:rPr>
                <w:rtl/>
              </w:rPr>
              <w:t xml:space="preserve">نحو 32%</w:t>
            </w:r>
          </w:p>
        </w:tc>
      </w:tr>
      <w:tr>
        <w:tc>
          <w:tcPr/>
          <w:p>
            <w:pPr>
              <w:pStyle w:val="Compact"/>
              <w:bidi/>
              <w:jc w:val="left"/>
            </w:pPr>
            <w:r>
              <w:rPr>
                <w:rtl/>
              </w:rPr>
              <w:t xml:space="preserve">2031</w:t>
            </w:r>
          </w:p>
        </w:tc>
        <w:tc>
          <w:tcPr/>
          <w:p>
            <w:pPr>
              <w:pStyle w:val="Compact"/>
              <w:bidi/>
              <w:jc w:val="left"/>
            </w:pPr>
            <w:r>
              <w:rPr>
                <w:rtl/>
              </w:rPr>
              <w:t xml:space="preserve">10.2</w:t>
            </w:r>
          </w:p>
        </w:tc>
        <w:tc>
          <w:tcPr/>
          <w:p>
            <w:pPr>
              <w:pStyle w:val="Compact"/>
              <w:bidi/>
              <w:jc w:val="left"/>
            </w:pPr>
            <w:r>
              <w:rPr>
                <w:rtl/>
              </w:rPr>
              <w:t xml:space="preserve">2.5</w:t>
            </w:r>
          </w:p>
        </w:tc>
        <w:tc>
          <w:tcPr/>
          <w:p>
            <w:pPr>
              <w:pStyle w:val="Compact"/>
              <w:bidi/>
              <w:jc w:val="left"/>
            </w:pPr>
            <w:r>
              <w:rPr>
                <w:rtl/>
              </w:rPr>
              <w:t xml:space="preserve">نحو 25%</w:t>
            </w:r>
          </w:p>
        </w:tc>
      </w:tr>
      <w:tr>
        <w:tc>
          <w:tcPr/>
          <w:p>
            <w:pPr>
              <w:pStyle w:val="Compact"/>
              <w:bidi/>
              <w:jc w:val="left"/>
            </w:pPr>
            <w:r>
              <w:rPr>
                <w:rtl/>
              </w:rPr>
              <w:t xml:space="preserve">2034</w:t>
            </w:r>
          </w:p>
        </w:tc>
        <w:tc>
          <w:tcPr/>
          <w:p>
            <w:pPr>
              <w:pStyle w:val="Compact"/>
              <w:bidi/>
              <w:jc w:val="left"/>
            </w:pPr>
            <w:r>
              <w:rPr>
                <w:rtl/>
              </w:rPr>
              <w:t xml:space="preserve">15.2</w:t>
            </w:r>
          </w:p>
        </w:tc>
        <w:tc>
          <w:tcPr/>
          <w:p>
            <w:pPr>
              <w:pStyle w:val="Compact"/>
              <w:bidi/>
              <w:jc w:val="left"/>
            </w:pPr>
            <w:r>
              <w:rPr>
                <w:rtl/>
              </w:rPr>
              <w:t xml:space="preserve">3.0</w:t>
            </w:r>
          </w:p>
        </w:tc>
        <w:tc>
          <w:tcPr/>
          <w:p>
            <w:pPr>
              <w:pStyle w:val="Compact"/>
              <w:bidi/>
              <w:jc w:val="left"/>
            </w:pPr>
            <w:r>
              <w:rPr>
                <w:rtl/>
              </w:rPr>
              <w:t xml:space="preserve">نحو 20%</w:t>
            </w:r>
          </w:p>
        </w:tc>
      </w:tr>
    </w:tbl>
    <w:p>
      <w:pPr>
        <w:pStyle w:val="BodyText"/>
        <w:bidi/>
      </w:pPr>
      <w:r>
        <w:rPr>
          <w:b/>
          <w:bCs/>
          <w:rtl/>
        </w:rPr>
        <w:t xml:space="preserve">وهذا هو المكسب الحقيقي من خفض السقف:</w:t>
      </w:r>
      <w:r>
        <w:rPr>
          <w:rtl/>
        </w:rPr>
        <w:t xml:space="preserve"> </w:t>
      </w:r>
      <w:r>
        <w:rPr>
          <w:rtl/>
        </w:rPr>
        <w:t xml:space="preserve">كان الدفاع عند 5% يستهلك نحو 77% من الإيرادات الذاتية في 2027، وعند 3% صار يستهلك نحو 46%.</w:t>
      </w:r>
      <w:r>
        <w:rPr>
          <w:rtl/>
        </w:rPr>
        <w:t xml:space="preserve"> </w:t>
      </w:r>
      <w:r>
        <w:rPr>
          <w:b/>
          <w:bCs/>
          <w:rtl/>
        </w:rPr>
        <w:t xml:space="preserve">أي أن نقطتين مئويتين من الناتج تُحرَّران للصحة والتعليم والإعمار.</w:t>
      </w:r>
    </w:p>
    <w:p>
      <w:pPr>
        <w:pStyle w:val="BodyText"/>
        <w:bidi/>
      </w:pPr>
      <w:r>
        <w:rPr>
          <w:b/>
          <w:bCs/>
          <w:rtl/>
        </w:rPr>
        <w:t xml:space="preserve">والخلاصة:</w:t>
      </w:r>
      <w:r>
        <w:rPr>
          <w:rtl/>
        </w:rPr>
        <w:t xml:space="preserve"> </w:t>
      </w:r>
      <w:r>
        <w:rPr>
          <w:rtl/>
        </w:rPr>
        <w:t xml:space="preserve">إن المشكلة ليست تحديد نسبة للإنفاق الدفاعي فقط، وإنما العلاقة بينها وبين قدرة الدولة المالية. ولا تستقيم المعادلة إلا بثلاثة شروط: تمويل خارجي لبرامج الدمج والتسريح وإصلاح قطاع الأمن؛ وترتيب بنود الدفاع بحيث تأتي أولاً البنود التي تخفض الكلفة لاحقاً؛ ورفع الإيرادات بسرعة.</w:t>
      </w:r>
    </w:p>
    <w:bookmarkEnd w:id="38"/>
    <w:bookmarkStart w:id="39" w:name="هيكل-الموازنة-المدنية-المستهدف"/>
    <w:p>
      <w:pPr>
        <w:pStyle w:val="Heading2"/>
        <w:bidi/>
      </w:pPr>
      <w:r>
        <w:rPr>
          <w:rtl/>
        </w:rPr>
        <w:t xml:space="preserve">هيكل الموازنة المدنية المستهدف</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البند</w:t>
            </w:r>
          </w:p>
        </w:tc>
        <w:tc>
          <w:tcPr/>
          <w:p>
            <w:pPr>
              <w:pStyle w:val="Compact"/>
              <w:bidi/>
              <w:jc w:val="left"/>
            </w:pPr>
            <w:r>
              <w:rPr>
                <w:rtl/>
              </w:rPr>
              <w:t xml:space="preserve">النسبة المستهدفة</w:t>
            </w:r>
          </w:p>
        </w:tc>
      </w:tr>
      <w:tr>
        <w:tc>
          <w:tcPr/>
          <w:p>
            <w:pPr>
              <w:pStyle w:val="Compact"/>
              <w:bidi/>
              <w:jc w:val="left"/>
            </w:pPr>
            <w:r>
              <w:rPr>
                <w:rtl/>
              </w:rPr>
              <w:t xml:space="preserve">الاستثمار في البنى التحتية والطاقة</w:t>
            </w:r>
          </w:p>
        </w:tc>
        <w:tc>
          <w:tcPr/>
          <w:p>
            <w:pPr>
              <w:pStyle w:val="Compact"/>
              <w:bidi/>
              <w:jc w:val="left"/>
            </w:pPr>
            <w:r>
              <w:rPr>
                <w:rtl/>
              </w:rPr>
              <w:t xml:space="preserve">25% من الموازنة المدنية</w:t>
            </w:r>
          </w:p>
        </w:tc>
      </w:tr>
      <w:tr>
        <w:tc>
          <w:tcPr/>
          <w:p>
            <w:pPr>
              <w:pStyle w:val="Compact"/>
              <w:bidi/>
              <w:jc w:val="left"/>
            </w:pPr>
            <w:r>
              <w:rPr>
                <w:rtl/>
              </w:rPr>
              <w:t xml:space="preserve">التعليم</w:t>
            </w:r>
          </w:p>
        </w:tc>
        <w:tc>
          <w:tcPr/>
          <w:p>
            <w:pPr>
              <w:pStyle w:val="Compact"/>
              <w:bidi/>
              <w:jc w:val="left"/>
            </w:pPr>
            <w:r>
              <w:rPr>
                <w:rtl/>
              </w:rPr>
              <w:t xml:space="preserve">7% من إجمالي الموازنة في نهاية الانتقال، و10% للحكومة المنتخبة</w:t>
            </w:r>
          </w:p>
        </w:tc>
      </w:tr>
      <w:tr>
        <w:tc>
          <w:tcPr/>
          <w:p>
            <w:pPr>
              <w:pStyle w:val="Compact"/>
              <w:bidi/>
              <w:jc w:val="left"/>
            </w:pPr>
            <w:r>
              <w:rPr>
                <w:rtl/>
              </w:rPr>
              <w:t xml:space="preserve">الصحة</w:t>
            </w:r>
          </w:p>
        </w:tc>
        <w:tc>
          <w:tcPr/>
          <w:p>
            <w:pPr>
              <w:pStyle w:val="Compact"/>
              <w:bidi/>
              <w:jc w:val="left"/>
            </w:pPr>
            <w:r>
              <w:rPr>
                <w:rtl/>
              </w:rPr>
              <w:t xml:space="preserve">7% في نهاية الانتقال، و10% للحكومة المنتخبة</w:t>
            </w:r>
          </w:p>
        </w:tc>
      </w:tr>
      <w:tr>
        <w:tc>
          <w:tcPr/>
          <w:p>
            <w:pPr>
              <w:pStyle w:val="Compact"/>
              <w:bidi/>
              <w:jc w:val="left"/>
            </w:pPr>
            <w:r>
              <w:rPr>
                <w:rtl/>
              </w:rPr>
              <w:t xml:space="preserve">المرتبات</w:t>
            </w:r>
          </w:p>
        </w:tc>
        <w:tc>
          <w:tcPr/>
          <w:p>
            <w:pPr>
              <w:pStyle w:val="Compact"/>
              <w:bidi/>
              <w:jc w:val="left"/>
            </w:pPr>
            <w:r>
              <w:rPr>
                <w:rtl/>
              </w:rPr>
              <w:t xml:space="preserve">لا تتجاوز 20% من الموازنة المدنية على المدى المتوسط</w:t>
            </w:r>
          </w:p>
        </w:tc>
      </w:tr>
    </w:tbl>
    <w:p>
      <w:pPr>
        <w:pStyle w:val="BodyText"/>
        <w:bidi/>
      </w:pPr>
      <w:r>
        <w:rPr>
          <w:b/>
          <w:bCs/>
          <w:rtl/>
        </w:rPr>
        <w:t xml:space="preserve">وإصلاح الدعم</w:t>
      </w:r>
      <w:r>
        <w:rPr>
          <w:rtl/>
        </w:rPr>
        <w:t xml:space="preserve"> </w:t>
      </w:r>
      <w:r>
        <w:rPr>
          <w:rtl/>
        </w:rPr>
        <w:t xml:space="preserve">يتم تدريجياً وبجدول معلن، ولا يبدأ إلا بعد تشغيل التحويلات النقدية المباشرة للأسر الفقيرة عبر الهوية الرقمية.</w:t>
      </w:r>
    </w:p>
    <w:p>
      <w:pPr>
        <w:bidi/>
      </w:pPr>
      <w:r>
        <w:rPr>
          <w:rtl/>
        </w:rPr>
        <w:br w:type="page"/>
      </w:r>
    </w:p>
    <w:bookmarkEnd w:id="39"/>
    <w:bookmarkEnd w:id="40"/>
    <w:bookmarkStart w:id="41" w:name="سادسا-الدين-العام"/>
    <w:p>
      <w:pPr>
        <w:pStyle w:val="Heading1"/>
        <w:bidi/>
      </w:pPr>
      <w:r>
        <w:rPr>
          <w:rtl/>
        </w:rPr>
        <w:t xml:space="preserve">سادساً: الدين العام</w:t>
      </w:r>
    </w:p>
    <w:p>
      <w:pPr>
        <w:pStyle w:val="FirstParagraph"/>
        <w:bidi/>
      </w:pPr>
      <w:r>
        <w:rPr>
          <w:rtl/>
        </w:rPr>
        <w:t xml:space="preserve">إن نسبة 128.5% من الناتج وحدها لا تخبر صانع القرار بما يجب التفاوض عليه ومع من. لذلك تميز الورقة بين مكونات الدين:</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المكون</w:t>
            </w:r>
          </w:p>
        </w:tc>
        <w:tc>
          <w:tcPr/>
          <w:p>
            <w:pPr>
              <w:pStyle w:val="Compact"/>
              <w:bidi/>
              <w:jc w:val="left"/>
            </w:pPr>
            <w:r>
              <w:rPr>
                <w:rtl/>
              </w:rPr>
              <w:t xml:space="preserve">ما نعرفه</w:t>
            </w:r>
          </w:p>
        </w:tc>
        <w:tc>
          <w:tcPr/>
          <w:p>
            <w:pPr>
              <w:pStyle w:val="Compact"/>
              <w:bidi/>
              <w:jc w:val="left"/>
            </w:pPr>
            <w:r>
              <w:rPr>
                <w:rtl/>
              </w:rPr>
              <w:t xml:space="preserve">ما يلزم</w:t>
            </w:r>
          </w:p>
        </w:tc>
      </w:tr>
      <w:tr>
        <w:tc>
          <w:tcPr/>
          <w:p>
            <w:pPr>
              <w:pStyle w:val="Compact"/>
              <w:bidi/>
              <w:jc w:val="left"/>
            </w:pPr>
            <w:r>
              <w:rPr>
                <w:b/>
                <w:bCs/>
                <w:rtl/>
              </w:rPr>
              <w:t xml:space="preserve">الدين الخارجي</w:t>
            </w:r>
          </w:p>
        </w:tc>
        <w:tc>
          <w:tcPr/>
          <w:p>
            <w:pPr>
              <w:pStyle w:val="Compact"/>
              <w:bidi/>
              <w:jc w:val="left"/>
            </w:pPr>
            <w:r>
              <w:rPr>
                <w:rtl/>
              </w:rPr>
              <w:t xml:space="preserve">قُدّر عند بلوغ نقطة القرار في مبادرة الدول الفقيرة المثقلة بالديون (يونيو 2021) بأكثر من 50 مليار دولار، أغلبه متأخرات لدائنين ثنائيين خارج نادي باريس وتجاريين</w:t>
            </w:r>
          </w:p>
        </w:tc>
        <w:tc>
          <w:tcPr/>
          <w:p>
            <w:pPr>
              <w:pStyle w:val="Compact"/>
              <w:bidi/>
              <w:jc w:val="left"/>
            </w:pPr>
            <w:r>
              <w:rPr>
                <w:rtl/>
              </w:rPr>
              <w:t xml:space="preserve">تحديث رسمي للرصيد بعد الحرب</w:t>
            </w:r>
          </w:p>
        </w:tc>
      </w:tr>
      <w:tr>
        <w:tc>
          <w:tcPr/>
          <w:p>
            <w:pPr>
              <w:pStyle w:val="Compact"/>
              <w:bidi/>
              <w:jc w:val="left"/>
            </w:pPr>
            <w:r>
              <w:rPr>
                <w:b/>
                <w:bCs/>
                <w:rtl/>
              </w:rPr>
              <w:t xml:space="preserve">المتأخرات والفوائد والغرامات</w:t>
            </w:r>
          </w:p>
        </w:tc>
        <w:tc>
          <w:tcPr/>
          <w:p>
            <w:pPr>
              <w:pStyle w:val="Compact"/>
              <w:bidi/>
              <w:jc w:val="left"/>
            </w:pPr>
            <w:r>
              <w:rPr>
                <w:rtl/>
              </w:rPr>
              <w:t xml:space="preserve">تشكل الجزء الأكبر من الدين الخارجي</w:t>
            </w:r>
          </w:p>
        </w:tc>
        <w:tc>
          <w:tcPr/>
          <w:p>
            <w:pPr>
              <w:pStyle w:val="Compact"/>
              <w:bidi/>
              <w:jc w:val="left"/>
            </w:pPr>
            <w:r>
              <w:rPr>
                <w:rtl/>
              </w:rPr>
              <w:t xml:space="preserve">فصلها في كل تفاوض</w:t>
            </w:r>
          </w:p>
        </w:tc>
      </w:tr>
      <w:tr>
        <w:tc>
          <w:tcPr/>
          <w:p>
            <w:pPr>
              <w:pStyle w:val="Compact"/>
              <w:bidi/>
              <w:jc w:val="left"/>
            </w:pPr>
            <w:r>
              <w:rPr>
                <w:b/>
                <w:bCs/>
                <w:rtl/>
              </w:rPr>
              <w:t xml:space="preserve">الدين المحلي</w:t>
            </w:r>
          </w:p>
        </w:tc>
        <w:tc>
          <w:tcPr/>
          <w:p>
            <w:pPr>
              <w:pStyle w:val="Compact"/>
              <w:bidi/>
              <w:jc w:val="left"/>
            </w:pPr>
            <w:r>
              <w:rPr>
                <w:rtl/>
              </w:rPr>
              <w:t xml:space="preserve">غير منشور بدقة، ويشمل اقتراض الحكومة من البنك المركزي</w:t>
            </w:r>
          </w:p>
        </w:tc>
        <w:tc>
          <w:tcPr/>
          <w:p>
            <w:pPr>
              <w:pStyle w:val="Compact"/>
              <w:bidi/>
              <w:jc w:val="left"/>
            </w:pPr>
            <w:r>
              <w:rPr>
                <w:rtl/>
              </w:rPr>
              <w:t xml:space="preserve">نشر رصيده</w:t>
            </w:r>
          </w:p>
        </w:tc>
      </w:tr>
      <w:tr>
        <w:tc>
          <w:tcPr/>
          <w:p>
            <w:pPr>
              <w:pStyle w:val="Compact"/>
              <w:bidi/>
              <w:jc w:val="left"/>
            </w:pPr>
            <w:r>
              <w:rPr>
                <w:b/>
                <w:bCs/>
                <w:rtl/>
              </w:rPr>
              <w:t xml:space="preserve">ديون المؤسسات العامة والضمانات</w:t>
            </w:r>
          </w:p>
        </w:tc>
        <w:tc>
          <w:tcPr/>
          <w:p>
            <w:pPr>
              <w:pStyle w:val="Compact"/>
              <w:bidi/>
              <w:jc w:val="left"/>
            </w:pPr>
            <w:r>
              <w:rPr>
                <w:rtl/>
              </w:rPr>
              <w:t xml:space="preserve">غير معروفة</w:t>
            </w:r>
          </w:p>
        </w:tc>
        <w:tc>
          <w:tcPr/>
          <w:p>
            <w:pPr>
              <w:pStyle w:val="Compact"/>
              <w:bidi/>
              <w:jc w:val="left"/>
            </w:pPr>
            <w:r>
              <w:rPr>
                <w:rtl/>
              </w:rPr>
              <w:t xml:space="preserve">حصرها ضمن جرد الشركات العامة</w:t>
            </w:r>
          </w:p>
        </w:tc>
      </w:tr>
      <w:tr>
        <w:tc>
          <w:tcPr/>
          <w:p>
            <w:pPr>
              <w:pStyle w:val="Compact"/>
              <w:bidi/>
              <w:jc w:val="left"/>
            </w:pPr>
            <w:r>
              <w:rPr>
                <w:b/>
                <w:bCs/>
                <w:rtl/>
              </w:rPr>
              <w:t xml:space="preserve">التزامات البنك المركزي</w:t>
            </w:r>
          </w:p>
        </w:tc>
        <w:tc>
          <w:tcPr/>
          <w:p>
            <w:pPr>
              <w:pStyle w:val="Compact"/>
              <w:bidi/>
              <w:jc w:val="left"/>
            </w:pPr>
            <w:r>
              <w:rPr>
                <w:rtl/>
              </w:rPr>
              <w:t xml:space="preserve">غير منشورة</w:t>
            </w:r>
          </w:p>
        </w:tc>
        <w:tc>
          <w:tcPr/>
          <w:p>
            <w:pPr>
              <w:pStyle w:val="Compact"/>
              <w:bidi/>
              <w:jc w:val="left"/>
            </w:pPr>
            <w:r>
              <w:rPr>
                <w:rtl/>
              </w:rPr>
              <w:t xml:space="preserve">مراجعة مستقلة لميزانيته</w:t>
            </w:r>
          </w:p>
        </w:tc>
      </w:tr>
    </w:tbl>
    <w:p>
      <w:pPr>
        <w:pStyle w:val="BodyText"/>
        <w:bidi/>
      </w:pPr>
      <w:r>
        <w:rPr>
          <w:b/>
          <w:bCs/>
          <w:rtl/>
        </w:rPr>
        <w:t xml:space="preserve">والطريق:</w:t>
      </w:r>
      <w:r>
        <w:rPr>
          <w:rtl/>
        </w:rPr>
        <w:t xml:space="preserve"> </w:t>
      </w:r>
      <w:r>
        <w:rPr>
          <w:rtl/>
        </w:rPr>
        <w:t xml:space="preserve">استئناف مسار المبادرة، الذي ما زال السودان فيه قبل بلوغ نقطة الإنجاز، بحسب تحديث صندوق النقد الدولي لعام 2026، وهو مشروط بحكومة مدنية وبرنامج إصلاح موثوق؛ والتفاوض المباشر مع الدائنين العرب والثنائيين، وربط التسويات باستثمارات في الإعمار.</w:t>
      </w:r>
      <w:r>
        <w:rPr>
          <w:rtl/>
        </w:rPr>
        <w:t xml:space="preserve"> </w:t>
      </w:r>
      <w:r>
        <w:rPr>
          <w:b/>
          <w:bCs/>
          <w:rtl/>
        </w:rPr>
        <w:t xml:space="preserve">وإعفاء الديون ليس إيراداً نقدياً</w:t>
      </w:r>
      <w:r>
        <w:rPr>
          <w:rtl/>
        </w:rPr>
        <w:t xml:space="preserve">، وإنما يحرر حيزاً مالياً ويفتح باب التمويل الميسر.</w:t>
      </w:r>
    </w:p>
    <w:p>
      <w:pPr>
        <w:pStyle w:val="BodyText"/>
        <w:bidi/>
      </w:pPr>
      <w:r>
        <w:rPr>
          <w:b/>
          <w:bCs/>
          <w:rtl/>
        </w:rPr>
        <w:t xml:space="preserve">وقاعدتان للمستقبل:</w:t>
      </w:r>
      <w:r>
        <w:rPr>
          <w:rtl/>
        </w:rPr>
        <w:t xml:space="preserve"> </w:t>
      </w:r>
      <w:r>
        <w:rPr>
          <w:rtl/>
        </w:rPr>
        <w:t xml:space="preserve">سقف دستوري للدين العام، وحظر القروض المضمونة بالموارد الطبيعية قبل استخراجها إلا بموافقة البرلمان ونشر العقد.</w:t>
      </w:r>
    </w:p>
    <w:p>
      <w:pPr>
        <w:bidi/>
      </w:pPr>
      <w:r>
        <w:rPr>
          <w:rtl/>
        </w:rPr>
        <w:br w:type="page"/>
      </w:r>
    </w:p>
    <w:bookmarkEnd w:id="41"/>
    <w:bookmarkStart w:id="43" w:name="سابعا-القطاع-الخارجي"/>
    <w:p>
      <w:pPr>
        <w:pStyle w:val="Heading1"/>
        <w:bidi/>
      </w:pPr>
      <w:r>
        <w:rPr>
          <w:rtl/>
        </w:rPr>
        <w:t xml:space="preserve">سابعاً: القطاع الخارجي</w:t>
      </w:r>
    </w:p>
    <w:p>
      <w:pPr>
        <w:pStyle w:val="FirstParagraph"/>
        <w:bidi/>
      </w:pPr>
      <w:r>
        <w:rPr>
          <w:rtl/>
        </w:rPr>
        <w:t xml:space="preserve">إن السودان سيواجه في السنوات الأولى</w:t>
      </w:r>
      <w:r>
        <w:rPr>
          <w:rtl/>
        </w:rPr>
        <w:t xml:space="preserve"> </w:t>
      </w:r>
      <w:r>
        <w:rPr>
          <w:b/>
          <w:bCs/>
          <w:rtl/>
        </w:rPr>
        <w:t xml:space="preserve">قيد النقد الأجنبي</w:t>
      </w:r>
      <w:r>
        <w:rPr>
          <w:rtl/>
        </w:rPr>
        <w:t xml:space="preserve"> </w:t>
      </w:r>
      <w:r>
        <w:rPr>
          <w:rtl/>
        </w:rPr>
        <w:t xml:space="preserve">قبل قيد الموازنة. فحتى لو توفرت الإيرادات بالعملة المحلية، يبقى استيراد الوقود والدواء والغذاء ومدخلات الزراعة محكوماً بتوفر الدولار.</w:t>
      </w:r>
    </w:p>
    <w:bookmarkStart w:id="42" w:name="ميزان-المدفوعات-الصورة-العامة"/>
    <w:p>
      <w:pPr>
        <w:pStyle w:val="Heading2"/>
        <w:bidi/>
      </w:pPr>
      <w:r>
        <w:rPr>
          <w:rtl/>
        </w:rPr>
        <w:t xml:space="preserve">ميزان المدفوعات: الصورة العامة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المكون</w:t>
            </w:r>
          </w:p>
        </w:tc>
        <w:tc>
          <w:tcPr/>
          <w:p>
            <w:pPr>
              <w:pStyle w:val="Compact"/>
              <w:bidi/>
              <w:jc w:val="left"/>
            </w:pPr>
            <w:r>
              <w:rPr>
                <w:rtl/>
              </w:rPr>
              <w:t xml:space="preserve">الوضع الراهن</w:t>
            </w:r>
          </w:p>
        </w:tc>
        <w:tc>
          <w:tcPr/>
          <w:p>
            <w:pPr>
              <w:pStyle w:val="Compact"/>
              <w:bidi/>
              <w:jc w:val="left"/>
            </w:pPr>
            <w:r>
              <w:rPr>
                <w:rtl/>
              </w:rPr>
              <w:t xml:space="preserve">الاتجاه المستهدف 2027–2029</w:t>
            </w:r>
          </w:p>
        </w:tc>
        <w:tc>
          <w:tcPr/>
          <w:p>
            <w:pPr>
              <w:pStyle w:val="Compact"/>
              <w:bidi/>
              <w:jc w:val="left"/>
            </w:pPr>
            <w:r>
              <w:rPr>
                <w:rtl/>
              </w:rPr>
              <w:t xml:space="preserve">المحرك الرئيسي</w:t>
            </w:r>
          </w:p>
        </w:tc>
      </w:tr>
      <w:tr>
        <w:tc>
          <w:tcPr/>
          <w:p>
            <w:pPr>
              <w:pStyle w:val="Compact"/>
              <w:bidi/>
              <w:jc w:val="left"/>
            </w:pPr>
            <w:r>
              <w:rPr>
                <w:b/>
                <w:bCs/>
                <w:rtl/>
              </w:rPr>
              <w:t xml:space="preserve">صادرات السلع</w:t>
            </w:r>
          </w:p>
        </w:tc>
        <w:tc>
          <w:tcPr/>
          <w:p>
            <w:pPr>
              <w:pStyle w:val="Compact"/>
              <w:bidi/>
              <w:jc w:val="left"/>
            </w:pPr>
            <w:r>
              <w:rPr>
                <w:rtl/>
              </w:rPr>
              <w:t xml:space="preserve">نحو 2.4 مليار دولار (تقدير)</w:t>
            </w:r>
          </w:p>
        </w:tc>
        <w:tc>
          <w:tcPr/>
          <w:p>
            <w:pPr>
              <w:pStyle w:val="Compact"/>
              <w:bidi/>
              <w:jc w:val="left"/>
            </w:pPr>
            <w:r>
              <w:rPr>
                <w:rtl/>
              </w:rPr>
              <w:t xml:space="preserve">ارتفاع تدريجي</w:t>
            </w:r>
          </w:p>
        </w:tc>
        <w:tc>
          <w:tcPr/>
          <w:p>
            <w:pPr>
              <w:pStyle w:val="Compact"/>
              <w:bidi/>
              <w:jc w:val="left"/>
            </w:pPr>
            <w:r>
              <w:rPr>
                <w:rtl/>
              </w:rPr>
              <w:t xml:space="preserve">الذهب الرسمي، الثروة الحيوانية، الصمغ العربي، السمسم</w:t>
            </w:r>
          </w:p>
        </w:tc>
      </w:tr>
      <w:tr>
        <w:tc>
          <w:tcPr/>
          <w:p>
            <w:pPr>
              <w:pStyle w:val="Compact"/>
              <w:bidi/>
              <w:jc w:val="left"/>
            </w:pPr>
            <w:r>
              <w:rPr>
                <w:b/>
                <w:bCs/>
                <w:rtl/>
              </w:rPr>
              <w:t xml:space="preserve">واردات السلع</w:t>
            </w:r>
          </w:p>
        </w:tc>
        <w:tc>
          <w:tcPr/>
          <w:p>
            <w:pPr>
              <w:pStyle w:val="Compact"/>
              <w:bidi/>
              <w:jc w:val="left"/>
            </w:pPr>
            <w:r>
              <w:rPr>
                <w:rtl/>
              </w:rPr>
              <w:t xml:space="preserve">ضاغطة بسبب الغذاء والوقود والدواء</w:t>
            </w:r>
          </w:p>
        </w:tc>
        <w:tc>
          <w:tcPr/>
          <w:p>
            <w:pPr>
              <w:pStyle w:val="Compact"/>
              <w:bidi/>
              <w:jc w:val="left"/>
            </w:pPr>
            <w:r>
              <w:rPr>
                <w:rtl/>
              </w:rPr>
              <w:t xml:space="preserve">ارتفاع مع الإعمار</w:t>
            </w:r>
          </w:p>
        </w:tc>
        <w:tc>
          <w:tcPr/>
          <w:p>
            <w:pPr>
              <w:pStyle w:val="Compact"/>
              <w:bidi/>
              <w:jc w:val="left"/>
            </w:pPr>
            <w:r>
              <w:rPr>
                <w:rtl/>
              </w:rPr>
              <w:t xml:space="preserve">مدخلات الإعمار والزراعة</w:t>
            </w:r>
          </w:p>
        </w:tc>
      </w:tr>
      <w:tr>
        <w:tc>
          <w:tcPr/>
          <w:p>
            <w:pPr>
              <w:pStyle w:val="Compact"/>
              <w:bidi/>
              <w:jc w:val="left"/>
            </w:pPr>
            <w:r>
              <w:rPr>
                <w:b/>
                <w:bCs/>
                <w:rtl/>
              </w:rPr>
              <w:t xml:space="preserve">الخدمات</w:t>
            </w:r>
          </w:p>
        </w:tc>
        <w:tc>
          <w:tcPr/>
          <w:p>
            <w:pPr>
              <w:pStyle w:val="Compact"/>
              <w:bidi/>
              <w:jc w:val="left"/>
            </w:pPr>
            <w:r>
              <w:rPr>
                <w:rtl/>
              </w:rPr>
              <w:t xml:space="preserve">رسوم عبور نفط جنوب السودان، والنقل</w:t>
            </w:r>
          </w:p>
        </w:tc>
        <w:tc>
          <w:tcPr/>
          <w:p>
            <w:pPr>
              <w:pStyle w:val="Compact"/>
              <w:bidi/>
              <w:jc w:val="left"/>
            </w:pPr>
            <w:r>
              <w:rPr>
                <w:rtl/>
              </w:rPr>
              <w:t xml:space="preserve">ارتفاع</w:t>
            </w:r>
          </w:p>
        </w:tc>
        <w:tc>
          <w:tcPr/>
          <w:p>
            <w:pPr>
              <w:pStyle w:val="Compact"/>
              <w:bidi/>
              <w:jc w:val="left"/>
            </w:pPr>
            <w:r>
              <w:rPr>
                <w:rtl/>
              </w:rPr>
              <w:t xml:space="preserve">عقود عبور تجارية شفافة</w:t>
            </w:r>
          </w:p>
        </w:tc>
      </w:tr>
      <w:tr>
        <w:tc>
          <w:tcPr/>
          <w:p>
            <w:pPr>
              <w:pStyle w:val="Compact"/>
              <w:bidi/>
              <w:jc w:val="left"/>
            </w:pPr>
            <w:r>
              <w:rPr>
                <w:b/>
                <w:bCs/>
                <w:rtl/>
              </w:rPr>
              <w:t xml:space="preserve">تحويلات المغتربين</w:t>
            </w:r>
          </w:p>
        </w:tc>
        <w:tc>
          <w:tcPr/>
          <w:p>
            <w:pPr>
              <w:pStyle w:val="Compact"/>
              <w:bidi/>
              <w:jc w:val="left"/>
            </w:pPr>
            <w:r>
              <w:rPr>
                <w:rtl/>
              </w:rPr>
              <w:t xml:space="preserve">يمر أغلبها عبر قنوات غير رسمية</w:t>
            </w:r>
          </w:p>
        </w:tc>
        <w:tc>
          <w:tcPr/>
          <w:p>
            <w:pPr>
              <w:pStyle w:val="Compact"/>
              <w:bidi/>
              <w:jc w:val="left"/>
            </w:pPr>
            <w:r>
              <w:rPr>
                <w:rtl/>
              </w:rPr>
              <w:t xml:space="preserve">انتقال إلى القنوات الرسمية</w:t>
            </w:r>
          </w:p>
        </w:tc>
        <w:tc>
          <w:tcPr/>
          <w:p>
            <w:pPr>
              <w:pStyle w:val="Compact"/>
              <w:bidi/>
              <w:jc w:val="left"/>
            </w:pPr>
            <w:r>
              <w:rPr>
                <w:rtl/>
              </w:rPr>
              <w:t xml:space="preserve">سعر صرف موحد، وقنوات رقمية رخيصة</w:t>
            </w:r>
          </w:p>
        </w:tc>
      </w:tr>
      <w:tr>
        <w:tc>
          <w:tcPr/>
          <w:p>
            <w:pPr>
              <w:pStyle w:val="Compact"/>
              <w:bidi/>
              <w:jc w:val="left"/>
            </w:pPr>
            <w:r>
              <w:rPr>
                <w:b/>
                <w:bCs/>
                <w:rtl/>
              </w:rPr>
              <w:t xml:space="preserve">الاستثمار الأجنبي المباشر</w:t>
            </w:r>
          </w:p>
        </w:tc>
        <w:tc>
          <w:tcPr/>
          <w:p>
            <w:pPr>
              <w:pStyle w:val="Compact"/>
              <w:bidi/>
              <w:jc w:val="left"/>
            </w:pPr>
            <w:r>
              <w:rPr>
                <w:rtl/>
              </w:rPr>
              <w:t xml:space="preserve">شبه متوقف</w:t>
            </w:r>
          </w:p>
        </w:tc>
        <w:tc>
          <w:tcPr/>
          <w:p>
            <w:pPr>
              <w:pStyle w:val="Compact"/>
              <w:bidi/>
              <w:jc w:val="left"/>
            </w:pPr>
            <w:r>
              <w:rPr>
                <w:rtl/>
              </w:rPr>
              <w:t xml:space="preserve">عودة تدريجية بعد السلام</w:t>
            </w:r>
          </w:p>
        </w:tc>
        <w:tc>
          <w:tcPr/>
          <w:p>
            <w:pPr>
              <w:pStyle w:val="Compact"/>
              <w:bidi/>
              <w:jc w:val="left"/>
            </w:pPr>
            <w:r>
              <w:rPr>
                <w:rtl/>
              </w:rPr>
              <w:t xml:space="preserve">ضمانات الاستثمار، والتحكيم، والطاقة</w:t>
            </w:r>
          </w:p>
        </w:tc>
      </w:tr>
      <w:tr>
        <w:tc>
          <w:tcPr/>
          <w:p>
            <w:pPr>
              <w:pStyle w:val="Compact"/>
              <w:bidi/>
              <w:jc w:val="left"/>
            </w:pPr>
            <w:r>
              <w:rPr>
                <w:b/>
                <w:bCs/>
                <w:rtl/>
              </w:rPr>
              <w:t xml:space="preserve">المنح والتمويل الميسر</w:t>
            </w:r>
          </w:p>
        </w:tc>
        <w:tc>
          <w:tcPr/>
          <w:p>
            <w:pPr>
              <w:pStyle w:val="Compact"/>
              <w:bidi/>
              <w:jc w:val="left"/>
            </w:pPr>
            <w:r>
              <w:rPr>
                <w:rtl/>
              </w:rPr>
              <w:t xml:space="preserve">إنساني أساساً</w:t>
            </w:r>
          </w:p>
        </w:tc>
        <w:tc>
          <w:tcPr/>
          <w:p>
            <w:pPr>
              <w:pStyle w:val="Compact"/>
              <w:bidi/>
              <w:jc w:val="left"/>
            </w:pPr>
            <w:r>
              <w:rPr>
                <w:rtl/>
              </w:rPr>
              <w:t xml:space="preserve">تحول إلى دعم الموازنة والإعمار</w:t>
            </w:r>
          </w:p>
        </w:tc>
        <w:tc>
          <w:tcPr/>
          <w:p>
            <w:pPr>
              <w:pStyle w:val="Compact"/>
              <w:bidi/>
              <w:jc w:val="left"/>
            </w:pPr>
            <w:r>
              <w:rPr>
                <w:rtl/>
              </w:rPr>
              <w:t xml:space="preserve">الحكم المدني، ومسار الإعفاء</w:t>
            </w:r>
          </w:p>
        </w:tc>
      </w:tr>
      <w:tr>
        <w:tc>
          <w:tcPr/>
          <w:p>
            <w:pPr>
              <w:pStyle w:val="Compact"/>
              <w:bidi/>
              <w:jc w:val="left"/>
            </w:pPr>
            <w:r>
              <w:rPr>
                <w:b/>
                <w:bCs/>
                <w:rtl/>
              </w:rPr>
              <w:t xml:space="preserve">خدمة الدين</w:t>
            </w:r>
          </w:p>
        </w:tc>
        <w:tc>
          <w:tcPr/>
          <w:p>
            <w:pPr>
              <w:pStyle w:val="Compact"/>
              <w:bidi/>
              <w:jc w:val="left"/>
            </w:pPr>
            <w:r>
              <w:rPr>
                <w:rtl/>
              </w:rPr>
              <w:t xml:space="preserve">متوقفة عملياً</w:t>
            </w:r>
          </w:p>
        </w:tc>
        <w:tc>
          <w:tcPr/>
          <w:p>
            <w:pPr>
              <w:pStyle w:val="Compact"/>
              <w:bidi/>
              <w:jc w:val="left"/>
            </w:pPr>
            <w:r>
              <w:rPr>
                <w:rtl/>
              </w:rPr>
              <w:t xml:space="preserve">محدودة حتى الإعفاء</w:t>
            </w:r>
          </w:p>
        </w:tc>
        <w:tc>
          <w:tcPr/>
          <w:p>
            <w:pPr>
              <w:pStyle w:val="Compact"/>
              <w:bidi/>
              <w:jc w:val="left"/>
            </w:pPr>
            <w:r>
              <w:rPr>
                <w:rtl/>
              </w:rPr>
              <w:t xml:space="preserve">الإعفاء</w:t>
            </w:r>
          </w:p>
        </w:tc>
      </w:tr>
      <w:tr>
        <w:tc>
          <w:tcPr/>
          <w:p>
            <w:pPr>
              <w:pStyle w:val="Compact"/>
              <w:bidi/>
              <w:jc w:val="left"/>
            </w:pPr>
            <w:r>
              <w:rPr>
                <w:b/>
                <w:bCs/>
                <w:rtl/>
              </w:rPr>
              <w:t xml:space="preserve">الاحتياطيات</w:t>
            </w:r>
          </w:p>
        </w:tc>
        <w:tc>
          <w:tcPr/>
          <w:p>
            <w:pPr>
              <w:pStyle w:val="Compact"/>
              <w:bidi/>
              <w:jc w:val="left"/>
            </w:pPr>
            <w:r>
              <w:rPr>
                <w:rtl/>
              </w:rPr>
              <w:t xml:space="preserve">تغطي نحو شهر من الواردات</w:t>
            </w:r>
          </w:p>
        </w:tc>
        <w:tc>
          <w:tcPr/>
          <w:p>
            <w:pPr>
              <w:pStyle w:val="Compact"/>
              <w:bidi/>
              <w:jc w:val="left"/>
            </w:pPr>
            <w:r>
              <w:rPr>
                <w:rtl/>
              </w:rPr>
              <w:t xml:space="preserve">بناء احتياطي يغطي 3 أشهر على الأقل قبل توحيد سعر الصرف</w:t>
            </w:r>
          </w:p>
        </w:tc>
        <w:tc>
          <w:tcPr/>
          <w:p>
            <w:pPr>
              <w:pStyle w:val="Compact"/>
              <w:bidi/>
              <w:jc w:val="left"/>
            </w:pPr>
            <w:r>
              <w:rPr>
                <w:rtl/>
              </w:rPr>
              <w:t xml:space="preserve">الذهب، والدعم الخارجي</w:t>
            </w:r>
          </w:p>
        </w:tc>
      </w:tr>
    </w:tbl>
    <w:p>
      <w:pPr>
        <w:pStyle w:val="BodyText"/>
        <w:bidi/>
      </w:pPr>
      <w:r>
        <w:rPr>
          <w:b/>
          <w:bCs/>
          <w:rtl/>
        </w:rPr>
        <w:t xml:space="preserve">والأولوية:</w:t>
      </w:r>
      <w:r>
        <w:rPr>
          <w:rtl/>
        </w:rPr>
        <w:t xml:space="preserve"> </w:t>
      </w:r>
      <w:r>
        <w:rPr>
          <w:rtl/>
        </w:rPr>
        <w:t xml:space="preserve">بناء احتياطي أولي يغطي ثلاثة أشهر من الواردات على الأقل قبل توحيد سعر الصرف، وإلا انهار السعر الموحد تحت ضغط الطلب.</w:t>
      </w:r>
    </w:p>
    <w:p>
      <w:pPr>
        <w:pStyle w:val="BodyText"/>
        <w:bidi/>
      </w:pPr>
      <w:r>
        <w:rPr>
          <w:b/>
          <w:bCs/>
          <w:rtl/>
        </w:rPr>
        <w:t xml:space="preserve">وتحويلات المغتربين:</w:t>
      </w:r>
      <w:r>
        <w:rPr>
          <w:rtl/>
        </w:rPr>
        <w:t xml:space="preserve"> </w:t>
      </w:r>
      <w:r>
        <w:rPr>
          <w:rtl/>
        </w:rPr>
        <w:t xml:space="preserve">قدّرت ورقة للجنة الاقتصادية لأفريقيا التابعة للأمم المتحدة (2020) أن السودان يمكنه استقطاب 1.5 إلى 2.3 مليار دولار سنوياً عبر القنوات المصرفية الرسمية إذا توفرت الشروط.</w:t>
      </w:r>
      <w:r>
        <w:rPr>
          <w:rtl/>
        </w:rPr>
        <w:t xml:space="preserve"> </w:t>
      </w:r>
      <w:r>
        <w:rPr>
          <w:b/>
          <w:bCs/>
          <w:rtl/>
        </w:rPr>
        <w:t xml:space="preserve">وهذا الرقم لا يمثل تحويلات جديدة</w:t>
      </w:r>
      <w:r>
        <w:rPr>
          <w:rtl/>
        </w:rPr>
        <w:t xml:space="preserve">، وإنما في أغلبه تحويلات تدخل البلاد اليوم عبر قنوات غير رسمية، ويمكن نقلها إلى القنوات الرسمية. وأثره الأساسي على الاحتياطيات وسعر الصرف، لا على الموازنة.</w:t>
      </w:r>
    </w:p>
    <w:p>
      <w:pPr>
        <w:pStyle w:val="BodyText"/>
        <w:bidi/>
      </w:pPr>
      <w:r>
        <w:rPr>
          <w:b/>
          <w:bCs/>
          <w:rtl/>
        </w:rPr>
        <w:t xml:space="preserve">ويحتاج جدول ميزان مدفوعات رقمي كامل</w:t>
      </w:r>
      <w:r>
        <w:rPr>
          <w:rtl/>
        </w:rPr>
        <w:t xml:space="preserve"> </w:t>
      </w:r>
      <w:r>
        <w:rPr>
          <w:rtl/>
        </w:rPr>
        <w:t xml:space="preserve">إلى بيانات البنك المركزي المحدثة، وهو من أولى مهام وحدة التخطيط.</w:t>
      </w:r>
    </w:p>
    <w:p>
      <w:pPr>
        <w:bidi/>
      </w:pPr>
      <w:r>
        <w:rPr>
          <w:rtl/>
        </w:rPr>
        <w:br w:type="page"/>
      </w:r>
    </w:p>
    <w:bookmarkEnd w:id="42"/>
    <w:bookmarkEnd w:id="43"/>
    <w:bookmarkStart w:id="46" w:name="ثامنا-السياسة-النقدية-والقطاع-المصرفي"/>
    <w:p>
      <w:pPr>
        <w:pStyle w:val="Heading1"/>
        <w:bidi/>
      </w:pPr>
      <w:r>
        <w:rPr>
          <w:rtl/>
        </w:rPr>
        <w:t xml:space="preserve">ثامناً: السياسة النقدية والقطاع المصرفي</w:t>
      </w:r>
    </w:p>
    <w:p>
      <w:pPr>
        <w:pStyle w:val="FirstParagraph"/>
        <w:bidi/>
      </w:pPr>
      <w:r>
        <w:rPr>
          <w:rtl/>
        </w:rPr>
        <w:t xml:space="preserve">هذا من أهم ملفات التعافي وأكثرها حساسية، لأن الخطأ فيه يأكل دخل الفقراء بالتضخم.</w:t>
      </w:r>
    </w:p>
    <w:bookmarkStart w:id="44" w:name="اثنا-عشر-ملفا"/>
    <w:p>
      <w:pPr>
        <w:pStyle w:val="Heading2"/>
        <w:bidi/>
      </w:pPr>
      <w:r>
        <w:rPr>
          <w:rtl/>
        </w:rPr>
        <w:t xml:space="preserve">اثنا عشر ملفاً</w:t>
      </w:r>
    </w:p>
    <w:p>
      <w:pPr>
        <w:pStyle w:val="Compact"/>
        <w:numPr>
          <w:ilvl w:val="0"/>
          <w:numId w:val="1003"/>
        </w:numPr>
        <w:bidi/>
      </w:pPr>
      <w:r>
        <w:rPr>
          <w:b/>
          <w:bCs/>
          <w:rtl/>
        </w:rPr>
        <w:t xml:space="preserve">استقلال البنك المركزي</w:t>
      </w:r>
      <w:r>
        <w:rPr>
          <w:rtl/>
        </w:rPr>
        <w:t xml:space="preserve"> </w:t>
      </w:r>
      <w:r>
        <w:rPr>
          <w:rtl/>
        </w:rPr>
        <w:t xml:space="preserve">بقانون جديد، بمجلس إدارة مهني ومهمة أولى هي استقرار الأسعار.</w:t>
      </w:r>
    </w:p>
    <w:p>
      <w:pPr>
        <w:pStyle w:val="Compact"/>
        <w:numPr>
          <w:ilvl w:val="0"/>
          <w:numId w:val="1003"/>
        </w:numPr>
        <w:bidi/>
      </w:pPr>
      <w:r>
        <w:rPr>
          <w:b/>
          <w:bCs/>
          <w:rtl/>
        </w:rPr>
        <w:t xml:space="preserve">تمويل العجز:</w:t>
      </w:r>
      <w:r>
        <w:rPr>
          <w:rtl/>
        </w:rPr>
        <w:t xml:space="preserve"> </w:t>
      </w:r>
      <w:r>
        <w:rPr>
          <w:rtl/>
        </w:rPr>
        <w:t xml:space="preserve">يُمنع البنك المركزي من تمويل عجز الموازنة إلا في حدود ضيقة ومعلنة، بسقف سنوي نسبة من إيرادات السنة السابقة.</w:t>
      </w:r>
    </w:p>
    <w:p>
      <w:pPr>
        <w:pStyle w:val="Compact"/>
        <w:numPr>
          <w:ilvl w:val="0"/>
          <w:numId w:val="1003"/>
        </w:numPr>
        <w:bidi/>
      </w:pPr>
      <w:r>
        <w:rPr>
          <w:b/>
          <w:bCs/>
          <w:rtl/>
        </w:rPr>
        <w:t xml:space="preserve">إعادة هيكلة الجهاز المصرفي:</w:t>
      </w:r>
      <w:r>
        <w:rPr>
          <w:rtl/>
        </w:rPr>
        <w:t xml:space="preserve"> </w:t>
      </w:r>
      <w:r>
        <w:rPr>
          <w:rtl/>
        </w:rPr>
        <w:t xml:space="preserve">تقييم مستقل لكل بنك بعد الخسائر الكبيرة التي لحقت بالقطاع خلال الحرب، ثم الدمج أو إعادة الرسملة أو التصفية المنظمة.</w:t>
      </w:r>
    </w:p>
    <w:p>
      <w:pPr>
        <w:pStyle w:val="Compact"/>
        <w:numPr>
          <w:ilvl w:val="0"/>
          <w:numId w:val="1003"/>
        </w:numPr>
        <w:bidi/>
      </w:pPr>
      <w:r>
        <w:rPr>
          <w:b/>
          <w:bCs/>
          <w:rtl/>
        </w:rPr>
        <w:t xml:space="preserve">إعادة الرسملة:</w:t>
      </w:r>
      <w:r>
        <w:rPr>
          <w:rtl/>
        </w:rPr>
        <w:t xml:space="preserve"> </w:t>
      </w:r>
      <w:r>
        <w:rPr>
          <w:rtl/>
        </w:rPr>
        <w:t xml:space="preserve">بشراكة مع مستثمرين ومؤسسات تمويل دولية، دون أن تتحمل الموازنة كل الكلفة.</w:t>
      </w:r>
    </w:p>
    <w:p>
      <w:pPr>
        <w:pStyle w:val="Compact"/>
        <w:numPr>
          <w:ilvl w:val="0"/>
          <w:numId w:val="1003"/>
        </w:numPr>
        <w:bidi/>
      </w:pPr>
      <w:r>
        <w:rPr>
          <w:b/>
          <w:bCs/>
          <w:rtl/>
        </w:rPr>
        <w:t xml:space="preserve">الديون المتعثرة:</w:t>
      </w:r>
      <w:r>
        <w:rPr>
          <w:rtl/>
        </w:rPr>
        <w:t xml:space="preserve"> </w:t>
      </w:r>
      <w:r>
        <w:rPr>
          <w:rtl/>
        </w:rPr>
        <w:t xml:space="preserve">آلية لمعالجتها، مع حماية المودعين الصغار.</w:t>
      </w:r>
    </w:p>
    <w:p>
      <w:pPr>
        <w:pStyle w:val="Compact"/>
        <w:numPr>
          <w:ilvl w:val="0"/>
          <w:numId w:val="1003"/>
        </w:numPr>
        <w:bidi/>
      </w:pPr>
      <w:r>
        <w:rPr>
          <w:b/>
          <w:bCs/>
          <w:rtl/>
        </w:rPr>
        <w:t xml:space="preserve">الاحتياطي الأجنبي:</w:t>
      </w:r>
      <w:r>
        <w:rPr>
          <w:rtl/>
        </w:rPr>
        <w:t xml:space="preserve"> </w:t>
      </w:r>
      <w:r>
        <w:rPr>
          <w:rtl/>
        </w:rPr>
        <w:t xml:space="preserve">بناؤه من شراء الذهب والدعم الخارجي قبل أي توحيد لسعر الصرف.</w:t>
      </w:r>
    </w:p>
    <w:p>
      <w:pPr>
        <w:pStyle w:val="Compact"/>
        <w:numPr>
          <w:ilvl w:val="0"/>
          <w:numId w:val="1003"/>
        </w:numPr>
        <w:bidi/>
      </w:pPr>
      <w:r>
        <w:rPr>
          <w:b/>
          <w:bCs/>
          <w:rtl/>
        </w:rPr>
        <w:t xml:space="preserve">سوق النقد الأجنبي:</w:t>
      </w:r>
      <w:r>
        <w:rPr>
          <w:rtl/>
        </w:rPr>
        <w:t xml:space="preserve"> </w:t>
      </w:r>
      <w:r>
        <w:rPr>
          <w:rtl/>
        </w:rPr>
        <w:t xml:space="preserve">سوق منظم شفاف تتعامل فيه البنوك والصرافات المرخصة.</w:t>
      </w:r>
    </w:p>
    <w:p>
      <w:pPr>
        <w:pStyle w:val="Compact"/>
        <w:numPr>
          <w:ilvl w:val="0"/>
          <w:numId w:val="1003"/>
        </w:numPr>
        <w:bidi/>
      </w:pPr>
      <w:r>
        <w:rPr>
          <w:b/>
          <w:bCs/>
          <w:rtl/>
        </w:rPr>
        <w:t xml:space="preserve">توحيد سعر الصرف</w:t>
      </w:r>
      <w:r>
        <w:rPr>
          <w:rtl/>
        </w:rPr>
        <w:t xml:space="preserve"> </w:t>
      </w:r>
      <w:r>
        <w:rPr>
          <w:rtl/>
        </w:rPr>
        <w:t xml:space="preserve">على مراحل، بشروط مسبقة: احتياطي كافٍ، وانضباط مالي، وسعر واقعي، وثقة، وجهاز مصرفي يعمل، وتحويلات نقدية تحمي الفقراء من أثر ارتفاع الأسعار.</w:t>
      </w:r>
    </w:p>
    <w:p>
      <w:pPr>
        <w:pStyle w:val="Compact"/>
        <w:numPr>
          <w:ilvl w:val="0"/>
          <w:numId w:val="1003"/>
        </w:numPr>
        <w:bidi/>
      </w:pPr>
      <w:r>
        <w:rPr>
          <w:b/>
          <w:bCs/>
          <w:rtl/>
        </w:rPr>
        <w:t xml:space="preserve">العلاقة بين سعر الصرف والتضخم:</w:t>
      </w:r>
      <w:r>
        <w:rPr>
          <w:rtl/>
        </w:rPr>
        <w:t xml:space="preserve"> </w:t>
      </w:r>
      <w:r>
        <w:rPr>
          <w:rtl/>
        </w:rPr>
        <w:t xml:space="preserve">يُتوقع ارتفاع مؤقت في الأسعار عند التوحيد، ولذلك يُختار توقيته بعناية، وتُعلن خطته مسبقاً.</w:t>
      </w:r>
    </w:p>
    <w:p>
      <w:pPr>
        <w:pStyle w:val="Compact"/>
        <w:numPr>
          <w:ilvl w:val="0"/>
          <w:numId w:val="1003"/>
        </w:numPr>
        <w:bidi/>
      </w:pPr>
      <w:r>
        <w:rPr>
          <w:b/>
          <w:bCs/>
          <w:rtl/>
        </w:rPr>
        <w:t xml:space="preserve">أنظمة الدفع:</w:t>
      </w:r>
      <w:r>
        <w:rPr>
          <w:rtl/>
        </w:rPr>
        <w:t xml:space="preserve"> </w:t>
      </w:r>
      <w:r>
        <w:rPr>
          <w:rtl/>
        </w:rPr>
        <w:t xml:space="preserve">ربط التطبيقات المصرفية والمحافظ الإلكترونية بنظام دفع وطني موحد.</w:t>
      </w:r>
    </w:p>
    <w:p>
      <w:pPr>
        <w:pStyle w:val="Compact"/>
        <w:numPr>
          <w:ilvl w:val="0"/>
          <w:numId w:val="1003"/>
        </w:numPr>
        <w:bidi/>
      </w:pPr>
      <w:r>
        <w:rPr>
          <w:b/>
          <w:bCs/>
          <w:rtl/>
        </w:rPr>
        <w:t xml:space="preserve">النقود الإلكترونية:</w:t>
      </w:r>
      <w:r>
        <w:rPr>
          <w:rtl/>
        </w:rPr>
        <w:t xml:space="preserve"> </w:t>
      </w:r>
      <w:r>
        <w:rPr>
          <w:rtl/>
        </w:rPr>
        <w:t xml:space="preserve">قانون ينظم ولا يحظر، ويحمي بيانات المستخدمين.</w:t>
      </w:r>
    </w:p>
    <w:p>
      <w:pPr>
        <w:pStyle w:val="Compact"/>
        <w:numPr>
          <w:ilvl w:val="0"/>
          <w:numId w:val="1003"/>
        </w:numPr>
        <w:bidi/>
      </w:pPr>
      <w:r>
        <w:rPr>
          <w:b/>
          <w:bCs/>
          <w:rtl/>
        </w:rPr>
        <w:t xml:space="preserve">الدولرة:</w:t>
      </w:r>
      <w:r>
        <w:rPr>
          <w:rtl/>
        </w:rPr>
        <w:t xml:space="preserve"> </w:t>
      </w:r>
      <w:r>
        <w:rPr>
          <w:rtl/>
        </w:rPr>
        <w:t xml:space="preserve">السياسة النقدية في اقتصاد يتعامل كثيراً بالعملات الأجنبية أضعف أثراً. والهدف استعادة الثقة بالجنيه تدريجياً، لا منع التعامل بالعملات الأجنبية بالقوة.</w:t>
      </w:r>
    </w:p>
    <w:p>
      <w:pPr>
        <w:pStyle w:val="FirstParagraph"/>
        <w:bidi/>
      </w:pPr>
      <w:r>
        <w:rPr>
          <w:b/>
          <w:bCs/>
          <w:rtl/>
        </w:rPr>
        <w:t xml:space="preserve">وعملة واحدة في كل البلاد:</w:t>
      </w:r>
      <w:r>
        <w:rPr>
          <w:rtl/>
        </w:rPr>
        <w:t xml:space="preserve"> </w:t>
      </w:r>
      <w:r>
        <w:rPr>
          <w:rtl/>
        </w:rPr>
        <w:t xml:space="preserve">فتداول عملات مختلفة في مناطق مختلفة خطر على وحدة البلاد نفسها.</w:t>
      </w:r>
    </w:p>
    <w:bookmarkEnd w:id="44"/>
    <w:bookmarkStart w:id="45" w:name="التضخم-أهداف-مشروطة-لا-توقعات"/>
    <w:p>
      <w:pPr>
        <w:pStyle w:val="Heading2"/>
        <w:bidi/>
      </w:pPr>
      <w:r>
        <w:rPr>
          <w:rtl/>
        </w:rPr>
        <w:t xml:space="preserve">التضخم: أهداف مشروطة لا توقعات</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الموعد</w:t>
            </w:r>
          </w:p>
        </w:tc>
        <w:tc>
          <w:tcPr/>
          <w:p>
            <w:pPr>
              <w:pStyle w:val="Compact"/>
              <w:bidi/>
              <w:jc w:val="left"/>
            </w:pPr>
            <w:r>
              <w:rPr>
                <w:rtl/>
              </w:rPr>
              <w:t xml:space="preserve">الهدف</w:t>
            </w:r>
          </w:p>
        </w:tc>
      </w:tr>
      <w:tr>
        <w:tc>
          <w:tcPr/>
          <w:p>
            <w:pPr>
              <w:pStyle w:val="Compact"/>
              <w:bidi/>
              <w:jc w:val="left"/>
            </w:pPr>
            <w:r>
              <w:rPr>
                <w:rtl/>
              </w:rPr>
              <w:t xml:space="preserve">الشهر 36</w:t>
            </w:r>
          </w:p>
        </w:tc>
        <w:tc>
          <w:tcPr/>
          <w:p>
            <w:pPr>
              <w:pStyle w:val="Compact"/>
              <w:bidi/>
              <w:jc w:val="left"/>
            </w:pPr>
            <w:r>
              <w:rPr>
                <w:rtl/>
              </w:rPr>
              <w:t xml:space="preserve">دون 30%</w:t>
            </w:r>
          </w:p>
        </w:tc>
      </w:tr>
      <w:tr>
        <w:tc>
          <w:tcPr/>
          <w:p>
            <w:pPr>
              <w:pStyle w:val="Compact"/>
              <w:bidi/>
              <w:jc w:val="left"/>
            </w:pPr>
            <w:r>
              <w:rPr>
                <w:rtl/>
              </w:rPr>
              <w:t xml:space="preserve">الشهر 60</w:t>
            </w:r>
          </w:p>
        </w:tc>
        <w:tc>
          <w:tcPr/>
          <w:p>
            <w:pPr>
              <w:pStyle w:val="Compact"/>
              <w:bidi/>
              <w:jc w:val="left"/>
            </w:pPr>
            <w:r>
              <w:rPr>
                <w:rtl/>
              </w:rPr>
              <w:t xml:space="preserve">دون 15%</w:t>
            </w:r>
          </w:p>
        </w:tc>
      </w:tr>
      <w:tr>
        <w:tc>
          <w:tcPr/>
          <w:p>
            <w:pPr>
              <w:pStyle w:val="Compact"/>
              <w:bidi/>
              <w:jc w:val="left"/>
            </w:pPr>
            <w:r>
              <w:rPr>
                <w:rtl/>
              </w:rPr>
              <w:t xml:space="preserve">الشهر 96</w:t>
            </w:r>
          </w:p>
        </w:tc>
        <w:tc>
          <w:tcPr/>
          <w:p>
            <w:pPr>
              <w:pStyle w:val="Compact"/>
              <w:bidi/>
              <w:jc w:val="left"/>
            </w:pPr>
            <w:r>
              <w:rPr>
                <w:rtl/>
              </w:rPr>
              <w:t xml:space="preserve">أحادي الرقم</w:t>
            </w:r>
          </w:p>
        </w:tc>
      </w:tr>
    </w:tbl>
    <w:p>
      <w:pPr>
        <w:pStyle w:val="BodyText"/>
        <w:bidi/>
      </w:pPr>
      <w:r>
        <w:rPr>
          <w:rtl/>
        </w:rPr>
        <w:t xml:space="preserve">وهذه</w:t>
      </w:r>
      <w:r>
        <w:rPr>
          <w:rtl/>
        </w:rPr>
        <w:t xml:space="preserve"> </w:t>
      </w:r>
      <w:r>
        <w:rPr>
          <w:b/>
          <w:bCs/>
          <w:rtl/>
        </w:rPr>
        <w:t xml:space="preserve">أهداف مشروطة</w:t>
      </w:r>
      <w:r>
        <w:rPr>
          <w:rtl/>
        </w:rPr>
        <w:t xml:space="preserve"> </w:t>
      </w:r>
      <w:r>
        <w:rPr>
          <w:rtl/>
        </w:rPr>
        <w:t xml:space="preserve">باستقرار الأمن، والانضباط المالي، وتوقف التمويل بالطباعة، وبناء الاحتياطي. وليست توقعات.</w:t>
      </w:r>
    </w:p>
    <w:p>
      <w:pPr>
        <w:bidi/>
      </w:pPr>
      <w:r>
        <w:rPr>
          <w:rtl/>
        </w:rPr>
        <w:br w:type="page"/>
      </w:r>
    </w:p>
    <w:bookmarkEnd w:id="45"/>
    <w:bookmarkEnd w:id="46"/>
    <w:bookmarkStart w:id="52" w:name="تاسعا-القطاعات-الإنتاجية"/>
    <w:p>
      <w:pPr>
        <w:pStyle w:val="Heading1"/>
        <w:bidi/>
      </w:pPr>
      <w:r>
        <w:rPr>
          <w:rtl/>
        </w:rPr>
        <w:t xml:space="preserve">تاسعاً: القطاعات الإنتاجية</w:t>
      </w:r>
    </w:p>
    <w:bookmarkStart w:id="47" w:name="الزراعة-والثروة-الحيوانية"/>
    <w:p>
      <w:pPr>
        <w:pStyle w:val="Heading2"/>
        <w:bidi/>
      </w:pPr>
      <w:r>
        <w:rPr>
          <w:rtl/>
        </w:rPr>
        <w:t xml:space="preserve">الزراعة والثروة الحيوانية</w:t>
      </w:r>
    </w:p>
    <w:p>
      <w:pPr>
        <w:pStyle w:val="FirstParagraph"/>
        <w:bidi/>
      </w:pPr>
      <w:r>
        <w:rPr>
          <w:rtl/>
        </w:rPr>
        <w:t xml:space="preserve">إن الزراعة هي القطاع الوحيد الذي يستطيع أن يعود إلى الإنتاج خلال موسم واحد إذا توفرت المدخلات والأمن، ولذلك فهي قاطرة التعافي.</w:t>
      </w:r>
      <w:r>
        <w:rPr>
          <w:rtl/>
        </w:rPr>
        <w:t xml:space="preserve"> </w:t>
      </w:r>
      <w:r>
        <w:rPr>
          <w:b/>
          <w:bCs/>
          <w:rtl/>
        </w:rPr>
        <w:t xml:space="preserve">لكن مشكلتها ليست مشكلة إنتاج فقط</w:t>
      </w:r>
      <w:r>
        <w:rPr>
          <w:rtl/>
        </w:rPr>
        <w:t xml:space="preserve">، ولا يكفي تمويل مدخلات الموسم وحده. وتعالج الورقة اثني عشر قيداً معاً:</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القيد</w:t>
            </w:r>
          </w:p>
        </w:tc>
        <w:tc>
          <w:tcPr/>
          <w:p>
            <w:pPr>
              <w:pStyle w:val="Compact"/>
              <w:bidi/>
              <w:jc w:val="left"/>
            </w:pPr>
            <w:r>
              <w:rPr>
                <w:rtl/>
              </w:rPr>
              <w:t xml:space="preserve">المعالجة</w:t>
            </w:r>
          </w:p>
        </w:tc>
      </w:tr>
      <w:tr>
        <w:tc>
          <w:tcPr/>
          <w:p>
            <w:pPr>
              <w:pStyle w:val="Compact"/>
              <w:bidi/>
              <w:jc w:val="left"/>
            </w:pPr>
            <w:r>
              <w:rPr>
                <w:rtl/>
              </w:rPr>
              <w:t xml:space="preserve">حيازة الأرض</w:t>
            </w:r>
          </w:p>
        </w:tc>
        <w:tc>
          <w:tcPr/>
          <w:p>
            <w:pPr>
              <w:pStyle w:val="Compact"/>
              <w:bidi/>
              <w:jc w:val="left"/>
            </w:pPr>
            <w:r>
              <w:rPr>
                <w:rtl/>
              </w:rPr>
              <w:t xml:space="preserve">تسجيل الحيازات ورقمنتها، وتمليك المزارعين في المشاريع المروية</w:t>
            </w:r>
          </w:p>
        </w:tc>
      </w:tr>
      <w:tr>
        <w:tc>
          <w:tcPr/>
          <w:p>
            <w:pPr>
              <w:pStyle w:val="Compact"/>
              <w:bidi/>
              <w:jc w:val="left"/>
            </w:pPr>
            <w:r>
              <w:rPr>
                <w:rtl/>
              </w:rPr>
              <w:t xml:space="preserve">التمويل</w:t>
            </w:r>
          </w:p>
        </w:tc>
        <w:tc>
          <w:tcPr/>
          <w:p>
            <w:pPr>
              <w:pStyle w:val="Compact"/>
              <w:bidi/>
              <w:jc w:val="left"/>
            </w:pPr>
            <w:r>
              <w:rPr>
                <w:rtl/>
              </w:rPr>
              <w:t xml:space="preserve">بنوك زراعية إقليمية، وضمانات جماعية</w:t>
            </w:r>
          </w:p>
        </w:tc>
      </w:tr>
      <w:tr>
        <w:tc>
          <w:tcPr/>
          <w:p>
            <w:pPr>
              <w:pStyle w:val="Compact"/>
              <w:bidi/>
              <w:jc w:val="left"/>
            </w:pPr>
            <w:r>
              <w:rPr>
                <w:rtl/>
              </w:rPr>
              <w:t xml:space="preserve">التسويق</w:t>
            </w:r>
          </w:p>
        </w:tc>
        <w:tc>
          <w:tcPr/>
          <w:p>
            <w:pPr>
              <w:pStyle w:val="Compact"/>
              <w:bidi/>
              <w:jc w:val="left"/>
            </w:pPr>
            <w:r>
              <w:rPr>
                <w:rtl/>
              </w:rPr>
              <w:t xml:space="preserve">بورصات سلعية، وربط المنتجين بالأسواق</w:t>
            </w:r>
          </w:p>
        </w:tc>
      </w:tr>
      <w:tr>
        <w:tc>
          <w:tcPr/>
          <w:p>
            <w:pPr>
              <w:pStyle w:val="Compact"/>
              <w:bidi/>
              <w:jc w:val="left"/>
            </w:pPr>
            <w:r>
              <w:rPr>
                <w:rtl/>
              </w:rPr>
              <w:t xml:space="preserve">الطرق</w:t>
            </w:r>
          </w:p>
        </w:tc>
        <w:tc>
          <w:tcPr/>
          <w:p>
            <w:pPr>
              <w:pStyle w:val="Compact"/>
              <w:bidi/>
              <w:jc w:val="left"/>
            </w:pPr>
            <w:r>
              <w:rPr>
                <w:rtl/>
              </w:rPr>
              <w:t xml:space="preserve">طرق فرعية تربط المشاريع بالأسواق والموانئ</w:t>
            </w:r>
          </w:p>
        </w:tc>
      </w:tr>
      <w:tr>
        <w:tc>
          <w:tcPr/>
          <w:p>
            <w:pPr>
              <w:pStyle w:val="Compact"/>
              <w:bidi/>
              <w:jc w:val="left"/>
            </w:pPr>
            <w:r>
              <w:rPr>
                <w:rtl/>
              </w:rPr>
              <w:t xml:space="preserve">التخزين</w:t>
            </w:r>
          </w:p>
        </w:tc>
        <w:tc>
          <w:tcPr/>
          <w:p>
            <w:pPr>
              <w:pStyle w:val="Compact"/>
              <w:bidi/>
              <w:jc w:val="left"/>
            </w:pPr>
            <w:r>
              <w:rPr>
                <w:rtl/>
              </w:rPr>
              <w:t xml:space="preserve">صوامع حديثة ومخزون استراتيجي</w:t>
            </w:r>
          </w:p>
        </w:tc>
      </w:tr>
      <w:tr>
        <w:tc>
          <w:tcPr/>
          <w:p>
            <w:pPr>
              <w:pStyle w:val="Compact"/>
              <w:bidi/>
              <w:jc w:val="left"/>
            </w:pPr>
            <w:r>
              <w:rPr>
                <w:rtl/>
              </w:rPr>
              <w:t xml:space="preserve">الكهرباء</w:t>
            </w:r>
          </w:p>
        </w:tc>
        <w:tc>
          <w:tcPr/>
          <w:p>
            <w:pPr>
              <w:pStyle w:val="Compact"/>
              <w:bidi/>
              <w:jc w:val="left"/>
            </w:pPr>
            <w:r>
              <w:rPr>
                <w:rtl/>
              </w:rPr>
              <w:t xml:space="preserve">الطاقة الشمسية للري والتخزين</w:t>
            </w:r>
          </w:p>
        </w:tc>
      </w:tr>
      <w:tr>
        <w:tc>
          <w:tcPr/>
          <w:p>
            <w:pPr>
              <w:pStyle w:val="Compact"/>
              <w:bidi/>
              <w:jc w:val="left"/>
            </w:pPr>
            <w:r>
              <w:rPr>
                <w:rtl/>
              </w:rPr>
              <w:t xml:space="preserve">الري</w:t>
            </w:r>
          </w:p>
        </w:tc>
        <w:tc>
          <w:tcPr/>
          <w:p>
            <w:pPr>
              <w:pStyle w:val="Compact"/>
              <w:bidi/>
              <w:jc w:val="left"/>
            </w:pPr>
            <w:r>
              <w:rPr>
                <w:rtl/>
              </w:rPr>
              <w:t xml:space="preserve">إعادة تأهيل القنوات في الجزيرة والمشاريع المروية</w:t>
            </w:r>
          </w:p>
        </w:tc>
      </w:tr>
      <w:tr>
        <w:tc>
          <w:tcPr/>
          <w:p>
            <w:pPr>
              <w:pStyle w:val="Compact"/>
              <w:bidi/>
              <w:jc w:val="left"/>
            </w:pPr>
            <w:r>
              <w:rPr>
                <w:rtl/>
              </w:rPr>
              <w:t xml:space="preserve">المخاطر المناخية</w:t>
            </w:r>
          </w:p>
        </w:tc>
        <w:tc>
          <w:tcPr/>
          <w:p>
            <w:pPr>
              <w:pStyle w:val="Compact"/>
              <w:bidi/>
              <w:jc w:val="left"/>
            </w:pPr>
            <w:r>
              <w:rPr>
                <w:rtl/>
              </w:rPr>
              <w:t xml:space="preserve">إنذار مبكر، وأصناف مقاومة للجفاف</w:t>
            </w:r>
          </w:p>
        </w:tc>
      </w:tr>
      <w:tr>
        <w:tc>
          <w:tcPr/>
          <w:p>
            <w:pPr>
              <w:pStyle w:val="Compact"/>
              <w:bidi/>
              <w:jc w:val="left"/>
            </w:pPr>
            <w:r>
              <w:rPr>
                <w:rtl/>
              </w:rPr>
              <w:t xml:space="preserve">التأمين الزراعي</w:t>
            </w:r>
          </w:p>
        </w:tc>
        <w:tc>
          <w:tcPr/>
          <w:p>
            <w:pPr>
              <w:pStyle w:val="Compact"/>
              <w:bidi/>
              <w:jc w:val="left"/>
            </w:pPr>
            <w:r>
              <w:rPr>
                <w:rtl/>
              </w:rPr>
              <w:t xml:space="preserve">برنامج تأمين مدعوم للمزارعين الصغار</w:t>
            </w:r>
          </w:p>
        </w:tc>
      </w:tr>
      <w:tr>
        <w:tc>
          <w:tcPr/>
          <w:p>
            <w:pPr>
              <w:pStyle w:val="Compact"/>
              <w:bidi/>
              <w:jc w:val="left"/>
            </w:pPr>
            <w:r>
              <w:rPr>
                <w:rtl/>
              </w:rPr>
              <w:t xml:space="preserve">سعر الصرف</w:t>
            </w:r>
          </w:p>
        </w:tc>
        <w:tc>
          <w:tcPr/>
          <w:p>
            <w:pPr>
              <w:pStyle w:val="Compact"/>
              <w:bidi/>
              <w:jc w:val="left"/>
            </w:pPr>
            <w:r>
              <w:rPr>
                <w:rtl/>
              </w:rPr>
              <w:t xml:space="preserve">توحيد السعر ليحصل المصدّر على القيمة الحقيقية</w:t>
            </w:r>
          </w:p>
        </w:tc>
      </w:tr>
      <w:tr>
        <w:tc>
          <w:tcPr/>
          <w:p>
            <w:pPr>
              <w:pStyle w:val="Compact"/>
              <w:bidi/>
              <w:jc w:val="left"/>
            </w:pPr>
            <w:r>
              <w:rPr>
                <w:rtl/>
              </w:rPr>
              <w:t xml:space="preserve">الصادرات</w:t>
            </w:r>
          </w:p>
        </w:tc>
        <w:tc>
          <w:tcPr/>
          <w:p>
            <w:pPr>
              <w:pStyle w:val="Compact"/>
              <w:bidi/>
              <w:jc w:val="left"/>
            </w:pPr>
            <w:r>
              <w:rPr>
                <w:rtl/>
              </w:rPr>
              <w:t xml:space="preserve">الانتقال من الحيوان الحي إلى اللحوم المبردة، ومن الصمغ الخام إلى المصنّع</w:t>
            </w:r>
          </w:p>
        </w:tc>
      </w:tr>
      <w:tr>
        <w:tc>
          <w:tcPr/>
          <w:p>
            <w:pPr>
              <w:pStyle w:val="Compact"/>
              <w:bidi/>
              <w:jc w:val="left"/>
            </w:pPr>
            <w:r>
              <w:rPr>
                <w:rtl/>
              </w:rPr>
              <w:t xml:space="preserve">أسعار المدخلات</w:t>
            </w:r>
          </w:p>
        </w:tc>
        <w:tc>
          <w:tcPr/>
          <w:p>
            <w:pPr>
              <w:pStyle w:val="Compact"/>
              <w:bidi/>
              <w:jc w:val="left"/>
            </w:pPr>
            <w:r>
              <w:rPr>
                <w:rtl/>
              </w:rPr>
              <w:t xml:space="preserve">إعفاء جمركي مؤقت للأسمدة والتقاوي</w:t>
            </w:r>
          </w:p>
        </w:tc>
      </w:tr>
    </w:tbl>
    <w:bookmarkEnd w:id="47"/>
    <w:bookmarkStart w:id="48" w:name="الذهب-والتعدين"/>
    <w:p>
      <w:pPr>
        <w:pStyle w:val="Heading2"/>
        <w:bidi/>
      </w:pPr>
      <w:r>
        <w:rPr>
          <w:rtl/>
        </w:rPr>
        <w:t xml:space="preserve">الذهب والتعدين</w:t>
      </w:r>
    </w:p>
    <w:p>
      <w:pPr>
        <w:pStyle w:val="FirstParagraph"/>
        <w:bidi/>
      </w:pPr>
      <w:r>
        <w:rPr>
          <w:b/>
          <w:bCs/>
          <w:rtl/>
        </w:rPr>
        <w:t xml:space="preserve">الحجم:</w:t>
      </w:r>
      <w:r>
        <w:rPr>
          <w:rtl/>
        </w:rPr>
        <w:t xml:space="preserve"> </w:t>
      </w:r>
      <w:r>
        <w:rPr>
          <w:rtl/>
        </w:rPr>
        <w:t xml:space="preserve">تشير البيانات الرسمية السودانية لعام 2024 إلى إنتاج يقارب 64 طناً، أغلبه من التعدين الأهلي</w:t>
      </w:r>
      <w:r>
        <w:rPr>
          <w:rtl/>
        </w:rPr>
        <w:t xml:space="preserve"> </w:t>
      </w:r>
      <w:r>
        <w:rPr>
          <w:i/>
          <w:iCs/>
          <w:rtl/>
        </w:rPr>
        <w:t xml:space="preserve">(تقديري؛ مصدره ومنهجه في جدول المصادر)</w:t>
      </w:r>
      <w:r>
        <w:rPr>
          <w:rtl/>
        </w:rPr>
        <w:t xml:space="preserve">. وبأسعار 2025، تتراوح قيمة هذا الإنتاج تقريباً بين 6 و7 مليارات دولار سنوياً</w:t>
      </w:r>
      <w:r>
        <w:rPr>
          <w:rtl/>
        </w:rPr>
        <w:t xml:space="preserve"> </w:t>
      </w:r>
      <w:r>
        <w:rPr>
          <w:i/>
          <w:iCs/>
          <w:rtl/>
        </w:rPr>
        <w:t xml:space="preserve">(تقديري، يتغير بتغير الأسعار العالمية)</w:t>
      </w:r>
      <w:r>
        <w:rPr>
          <w:rtl/>
        </w:rPr>
        <w:t xml:space="preserve">. وتشير بيانات التجارة الدولية لعام 2025 إلى واردات ذهب مسجلة من السودان في عدد من الدول، لكنها لا تكفي وحدها لتقدير الإنتاج أو نسبة التهريب.</w:t>
      </w:r>
    </w:p>
    <w:p>
      <w:pPr>
        <w:pStyle w:val="BodyText"/>
        <w:bidi/>
      </w:pPr>
      <w:r>
        <w:rPr>
          <w:b/>
          <w:bCs/>
          <w:rtl/>
        </w:rPr>
        <w:t xml:space="preserve">سلسلة الذهب من المنجم إلى الخزينة: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الحلقة</w:t>
            </w:r>
          </w:p>
        </w:tc>
        <w:tc>
          <w:tcPr/>
          <w:p>
            <w:pPr>
              <w:pStyle w:val="Compact"/>
              <w:bidi/>
              <w:jc w:val="left"/>
            </w:pPr>
            <w:r>
              <w:rPr>
                <w:rtl/>
              </w:rPr>
              <w:t xml:space="preserve">الإجراء</w:t>
            </w:r>
          </w:p>
        </w:tc>
        <w:tc>
          <w:tcPr/>
          <w:p>
            <w:pPr>
              <w:pStyle w:val="Compact"/>
              <w:bidi/>
              <w:jc w:val="left"/>
            </w:pPr>
            <w:r>
              <w:rPr>
                <w:rtl/>
              </w:rPr>
              <w:t xml:space="preserve">الجهة</w:t>
            </w:r>
          </w:p>
        </w:tc>
      </w:tr>
      <w:tr>
        <w:tc>
          <w:tcPr/>
          <w:p>
            <w:pPr>
              <w:pStyle w:val="Compact"/>
              <w:bidi/>
              <w:jc w:val="left"/>
            </w:pPr>
            <w:r>
              <w:rPr>
                <w:b/>
                <w:bCs/>
                <w:rtl/>
              </w:rPr>
              <w:t xml:space="preserve">الترخيص</w:t>
            </w:r>
          </w:p>
        </w:tc>
        <w:tc>
          <w:tcPr/>
          <w:p>
            <w:pPr>
              <w:pStyle w:val="Compact"/>
              <w:bidi/>
              <w:jc w:val="left"/>
            </w:pPr>
            <w:r>
              <w:rPr>
                <w:rtl/>
              </w:rPr>
              <w:t xml:space="preserve">تراخيص ميسرة وتعاونيات للتعدين الأهلي</w:t>
            </w:r>
          </w:p>
        </w:tc>
        <w:tc>
          <w:tcPr/>
          <w:p>
            <w:pPr>
              <w:pStyle w:val="Compact"/>
              <w:bidi/>
              <w:jc w:val="left"/>
            </w:pPr>
            <w:r>
              <w:rPr>
                <w:rtl/>
              </w:rPr>
              <w:t xml:space="preserve">هيئة تنظيم التعدين الأهلي</w:t>
            </w:r>
          </w:p>
        </w:tc>
      </w:tr>
      <w:tr>
        <w:tc>
          <w:tcPr/>
          <w:p>
            <w:pPr>
              <w:pStyle w:val="Compact"/>
              <w:bidi/>
              <w:jc w:val="left"/>
            </w:pPr>
            <w:r>
              <w:rPr>
                <w:b/>
                <w:bCs/>
                <w:rtl/>
              </w:rPr>
              <w:t xml:space="preserve">الشراء</w:t>
            </w:r>
          </w:p>
        </w:tc>
        <w:tc>
          <w:tcPr/>
          <w:p>
            <w:pPr>
              <w:pStyle w:val="Compact"/>
              <w:bidi/>
              <w:jc w:val="left"/>
            </w:pPr>
            <w:r>
              <w:rPr>
                <w:rtl/>
              </w:rPr>
              <w:t xml:space="preserve">مراكز شراء حكومية في مناطق الإنتاج</w:t>
            </w:r>
          </w:p>
        </w:tc>
        <w:tc>
          <w:tcPr/>
          <w:p>
            <w:pPr>
              <w:pStyle w:val="Compact"/>
              <w:bidi/>
              <w:jc w:val="left"/>
            </w:pPr>
            <w:r>
              <w:rPr>
                <w:rtl/>
              </w:rPr>
              <w:t xml:space="preserve">البنك المركزي وبنوك مرخصة</w:t>
            </w:r>
          </w:p>
        </w:tc>
      </w:tr>
      <w:tr>
        <w:tc>
          <w:tcPr/>
          <w:p>
            <w:pPr>
              <w:pStyle w:val="Compact"/>
              <w:bidi/>
              <w:jc w:val="left"/>
            </w:pPr>
            <w:r>
              <w:rPr>
                <w:b/>
                <w:bCs/>
                <w:rtl/>
              </w:rPr>
              <w:t xml:space="preserve">التسعير</w:t>
            </w:r>
          </w:p>
        </w:tc>
        <w:tc>
          <w:tcPr/>
          <w:p>
            <w:pPr>
              <w:pStyle w:val="Compact"/>
              <w:bidi/>
              <w:jc w:val="left"/>
            </w:pPr>
            <w:r>
              <w:rPr>
                <w:rtl/>
              </w:rPr>
              <w:t xml:space="preserve">سعر قريب من السعر العالمي، لأن الفارق هو ما يغذي التهريب</w:t>
            </w:r>
          </w:p>
        </w:tc>
        <w:tc>
          <w:tcPr/>
          <w:p>
            <w:pPr>
              <w:pStyle w:val="Compact"/>
              <w:bidi/>
              <w:jc w:val="left"/>
            </w:pPr>
            <w:r>
              <w:rPr>
                <w:rtl/>
              </w:rPr>
              <w:t xml:space="preserve">البنك المركزي</w:t>
            </w:r>
          </w:p>
        </w:tc>
      </w:tr>
      <w:tr>
        <w:tc>
          <w:tcPr/>
          <w:p>
            <w:pPr>
              <w:pStyle w:val="Compact"/>
              <w:bidi/>
              <w:jc w:val="left"/>
            </w:pPr>
            <w:r>
              <w:rPr>
                <w:b/>
                <w:bCs/>
                <w:rtl/>
              </w:rPr>
              <w:t xml:space="preserve">الدفع</w:t>
            </w:r>
          </w:p>
        </w:tc>
        <w:tc>
          <w:tcPr/>
          <w:p>
            <w:pPr>
              <w:pStyle w:val="Compact"/>
              <w:bidi/>
              <w:jc w:val="left"/>
            </w:pPr>
            <w:r>
              <w:rPr>
                <w:rtl/>
              </w:rPr>
              <w:t xml:space="preserve">سريع وبالعملة التي يريدها المعدّن</w:t>
            </w:r>
          </w:p>
        </w:tc>
        <w:tc>
          <w:tcPr/>
          <w:p>
            <w:pPr>
              <w:pStyle w:val="Compact"/>
              <w:bidi/>
              <w:jc w:val="left"/>
            </w:pPr>
            <w:r>
              <w:rPr>
                <w:rtl/>
              </w:rPr>
              <w:t xml:space="preserve">البنك المركزي</w:t>
            </w:r>
          </w:p>
        </w:tc>
      </w:tr>
      <w:tr>
        <w:tc>
          <w:tcPr/>
          <w:p>
            <w:pPr>
              <w:pStyle w:val="Compact"/>
              <w:bidi/>
              <w:jc w:val="left"/>
            </w:pPr>
            <w:r>
              <w:rPr>
                <w:b/>
                <w:bCs/>
                <w:rtl/>
              </w:rPr>
              <w:t xml:space="preserve">التصفية</w:t>
            </w:r>
          </w:p>
        </w:tc>
        <w:tc>
          <w:tcPr/>
          <w:p>
            <w:pPr>
              <w:pStyle w:val="Compact"/>
              <w:bidi/>
              <w:jc w:val="left"/>
            </w:pPr>
            <w:r>
              <w:rPr>
                <w:rtl/>
              </w:rPr>
              <w:t xml:space="preserve">مصفاة وطنية توثق المصدر</w:t>
            </w:r>
          </w:p>
        </w:tc>
        <w:tc>
          <w:tcPr/>
          <w:p>
            <w:pPr>
              <w:pStyle w:val="Compact"/>
              <w:bidi/>
              <w:jc w:val="left"/>
            </w:pPr>
            <w:r>
              <w:rPr>
                <w:rtl/>
              </w:rPr>
              <w:t xml:space="preserve">هيئة التعدين</w:t>
            </w:r>
          </w:p>
        </w:tc>
      </w:tr>
      <w:tr>
        <w:tc>
          <w:tcPr/>
          <w:p>
            <w:pPr>
              <w:pStyle w:val="Compact"/>
              <w:bidi/>
              <w:jc w:val="left"/>
            </w:pPr>
            <w:r>
              <w:rPr>
                <w:b/>
                <w:bCs/>
                <w:rtl/>
              </w:rPr>
              <w:t xml:space="preserve">التصدير</w:t>
            </w:r>
          </w:p>
        </w:tc>
        <w:tc>
          <w:tcPr/>
          <w:p>
            <w:pPr>
              <w:pStyle w:val="Compact"/>
              <w:bidi/>
              <w:jc w:val="left"/>
            </w:pPr>
            <w:r>
              <w:rPr>
                <w:rtl/>
              </w:rPr>
              <w:t xml:space="preserve">عبر منافذ محددة ومراقبة</w:t>
            </w:r>
          </w:p>
        </w:tc>
        <w:tc>
          <w:tcPr/>
          <w:p>
            <w:pPr>
              <w:pStyle w:val="Compact"/>
              <w:bidi/>
              <w:jc w:val="left"/>
            </w:pPr>
            <w:r>
              <w:rPr>
                <w:rtl/>
              </w:rPr>
              <w:t xml:space="preserve">الجمارك</w:t>
            </w:r>
          </w:p>
        </w:tc>
      </w:tr>
      <w:tr>
        <w:tc>
          <w:tcPr/>
          <w:p>
            <w:pPr>
              <w:pStyle w:val="Compact"/>
              <w:bidi/>
              <w:jc w:val="left"/>
            </w:pPr>
            <w:r>
              <w:rPr>
                <w:b/>
                <w:bCs/>
                <w:rtl/>
              </w:rPr>
              <w:t xml:space="preserve">الضرائب</w:t>
            </w:r>
          </w:p>
        </w:tc>
        <w:tc>
          <w:tcPr/>
          <w:p>
            <w:pPr>
              <w:pStyle w:val="Compact"/>
              <w:bidi/>
              <w:jc w:val="left"/>
            </w:pPr>
            <w:r>
              <w:rPr>
                <w:rtl/>
              </w:rPr>
              <w:t xml:space="preserve">إتاوات ورسوم معلنة وموحدة</w:t>
            </w:r>
          </w:p>
        </w:tc>
        <w:tc>
          <w:tcPr/>
          <w:p>
            <w:pPr>
              <w:pStyle w:val="Compact"/>
              <w:bidi/>
              <w:jc w:val="left"/>
            </w:pPr>
            <w:r>
              <w:rPr>
                <w:rtl/>
              </w:rPr>
              <w:t xml:space="preserve">المالية، والأقاليم وفق نصيبها</w:t>
            </w:r>
          </w:p>
        </w:tc>
      </w:tr>
      <w:tr>
        <w:tc>
          <w:tcPr/>
          <w:p>
            <w:pPr>
              <w:pStyle w:val="Compact"/>
              <w:bidi/>
              <w:jc w:val="left"/>
            </w:pPr>
            <w:r>
              <w:rPr>
                <w:b/>
                <w:bCs/>
                <w:rtl/>
              </w:rPr>
              <w:t xml:space="preserve">مكافحة التهريب</w:t>
            </w:r>
          </w:p>
        </w:tc>
        <w:tc>
          <w:tcPr/>
          <w:p>
            <w:pPr>
              <w:pStyle w:val="Compact"/>
              <w:bidi/>
              <w:jc w:val="left"/>
            </w:pPr>
            <w:r>
              <w:rPr>
                <w:rtl/>
              </w:rPr>
              <w:t xml:space="preserve">ضبط المعابر، وتعاون دولي ضد الشبكات</w:t>
            </w:r>
          </w:p>
        </w:tc>
        <w:tc>
          <w:tcPr/>
          <w:p>
            <w:pPr>
              <w:pStyle w:val="Compact"/>
              <w:bidi/>
              <w:jc w:val="left"/>
            </w:pPr>
            <w:r>
              <w:rPr>
                <w:rtl/>
              </w:rPr>
              <w:t xml:space="preserve">الداخلية، والخارجية</w:t>
            </w:r>
          </w:p>
        </w:tc>
      </w:tr>
      <w:tr>
        <w:tc>
          <w:tcPr/>
          <w:p>
            <w:pPr>
              <w:pStyle w:val="Compact"/>
              <w:bidi/>
              <w:jc w:val="left"/>
            </w:pPr>
            <w:r>
              <w:rPr>
                <w:b/>
                <w:bCs/>
                <w:rtl/>
              </w:rPr>
              <w:t xml:space="preserve">الشفافية</w:t>
            </w:r>
          </w:p>
        </w:tc>
        <w:tc>
          <w:tcPr/>
          <w:p>
            <w:pPr>
              <w:pStyle w:val="Compact"/>
              <w:bidi/>
              <w:jc w:val="left"/>
            </w:pPr>
            <w:r>
              <w:rPr>
                <w:rtl/>
              </w:rPr>
              <w:t xml:space="preserve">الانضمام إلى مبادرة الشفافية في الصناعات الاستخراجية، ونشر العقود</w:t>
            </w:r>
          </w:p>
        </w:tc>
        <w:tc>
          <w:tcPr/>
          <w:p>
            <w:pPr>
              <w:pStyle w:val="Compact"/>
              <w:bidi/>
              <w:jc w:val="left"/>
            </w:pPr>
            <w:r>
              <w:rPr>
                <w:rtl/>
              </w:rPr>
              <w:t xml:space="preserve">وزارة الطاقة والتعدين</w:t>
            </w:r>
          </w:p>
        </w:tc>
      </w:tr>
    </w:tbl>
    <w:bookmarkEnd w:id="48"/>
    <w:bookmarkStart w:id="49" w:name="الصناعة"/>
    <w:p>
      <w:pPr>
        <w:pStyle w:val="Heading2"/>
        <w:bidi/>
      </w:pPr>
      <w:r>
        <w:rPr>
          <w:rtl/>
        </w:rPr>
        <w:t xml:space="preserve">الصناعة</w:t>
      </w:r>
    </w:p>
    <w:p>
      <w:pPr>
        <w:pStyle w:val="FirstParagraph"/>
        <w:bidi/>
      </w:pPr>
      <w:r>
        <w:rPr>
          <w:rtl/>
        </w:rPr>
        <w:t xml:space="preserve">تُرتب أولويات إعادة تشغيل الصناعات</w:t>
      </w:r>
      <w:r>
        <w:rPr>
          <w:rtl/>
        </w:rPr>
        <w:t xml:space="preserve"> </w:t>
      </w:r>
      <w:r>
        <w:rPr>
          <w:b/>
          <w:bCs/>
          <w:rtl/>
        </w:rPr>
        <w:t xml:space="preserve">بخمسة معايير معاً</w:t>
      </w:r>
      <w:r>
        <w:rPr>
          <w:rtl/>
        </w:rPr>
        <w:t xml:space="preserve">: الأثر الاقتصادي، وسرعة إعادة التشغيل، وكثافة العمالة، وتقليل الاستيراد، وإمكانية التصدير. وتضاف إليها الحاجة الاجتماعية الملحة.</w:t>
      </w:r>
    </w:p>
    <w:tbl>
      <w:tblPr>
        <w:tblStyle w:val="Table"/>
        <w:bidiVisual/>
        <w:tblW w:w="5000" w:type="pct"/>
        <w:jc w:val="start"/>
        <w:tblLook w:val="04A0" w:firstRow="1" w:lastRow="0" w:firstColumn="0" w:lastColumn="0" w:noHBand="0" w:noVBand="1"/>
      </w:tblPr>
      <w:tblGrid>
        <w:gridCol w:w="1131"/>
        <w:gridCol w:w="1131"/>
        <w:gridCol w:w="1131"/>
        <w:gridCol w:w="1131"/>
        <w:gridCol w:w="1131"/>
        <w:gridCol w:w="1131"/>
        <w:gridCol w:w="1131"/>
      </w:tblGrid>
      <w:tr>
        <w:trPr>
          <w:tblHeader w:val="true"/>
        </w:trPr>
        <w:tc>
          <w:tcPr/>
          <w:p>
            <w:pPr>
              <w:pStyle w:val="Compact"/>
              <w:bidi/>
              <w:jc w:val="left"/>
            </w:pPr>
            <w:r>
              <w:rPr>
                <w:rtl/>
              </w:rPr>
              <w:t xml:space="preserve">الصناعة</w:t>
            </w:r>
          </w:p>
        </w:tc>
        <w:tc>
          <w:tcPr/>
          <w:p>
            <w:pPr>
              <w:pStyle w:val="Compact"/>
              <w:bidi/>
              <w:jc w:val="left"/>
            </w:pPr>
            <w:r>
              <w:rPr>
                <w:rtl/>
              </w:rPr>
              <w:t xml:space="preserve">الأثر الاقتصادي</w:t>
            </w:r>
          </w:p>
        </w:tc>
        <w:tc>
          <w:tcPr/>
          <w:p>
            <w:pPr>
              <w:pStyle w:val="Compact"/>
              <w:bidi/>
              <w:jc w:val="left"/>
            </w:pPr>
            <w:r>
              <w:rPr>
                <w:rtl/>
              </w:rPr>
              <w:t xml:space="preserve">سرعة التشغيل</w:t>
            </w:r>
          </w:p>
        </w:tc>
        <w:tc>
          <w:tcPr/>
          <w:p>
            <w:pPr>
              <w:pStyle w:val="Compact"/>
              <w:bidi/>
              <w:jc w:val="left"/>
            </w:pPr>
            <w:r>
              <w:rPr>
                <w:rtl/>
              </w:rPr>
              <w:t xml:space="preserve">كثافة العمالة</w:t>
            </w:r>
          </w:p>
        </w:tc>
        <w:tc>
          <w:tcPr/>
          <w:p>
            <w:pPr>
              <w:pStyle w:val="Compact"/>
              <w:bidi/>
              <w:jc w:val="left"/>
            </w:pPr>
            <w:r>
              <w:rPr>
                <w:rtl/>
              </w:rPr>
              <w:t xml:space="preserve">تقليل الاستيراد</w:t>
            </w:r>
          </w:p>
        </w:tc>
        <w:tc>
          <w:tcPr/>
          <w:p>
            <w:pPr>
              <w:pStyle w:val="Compact"/>
              <w:bidi/>
              <w:jc w:val="left"/>
            </w:pPr>
            <w:r>
              <w:rPr>
                <w:rtl/>
              </w:rPr>
              <w:t xml:space="preserve">التصدير</w:t>
            </w:r>
          </w:p>
        </w:tc>
        <w:tc>
          <w:tcPr/>
          <w:p>
            <w:pPr>
              <w:pStyle w:val="Compact"/>
              <w:bidi/>
              <w:jc w:val="left"/>
            </w:pPr>
            <w:r>
              <w:rPr>
                <w:rtl/>
              </w:rPr>
              <w:t xml:space="preserve">الحاجة الاجتماعية</w:t>
            </w:r>
          </w:p>
        </w:tc>
      </w:tr>
      <w:tr>
        <w:tc>
          <w:tcPr/>
          <w:p>
            <w:pPr>
              <w:pStyle w:val="Compact"/>
              <w:bidi/>
              <w:jc w:val="left"/>
            </w:pPr>
            <w:r>
              <w:rPr>
                <w:rtl/>
              </w:rPr>
              <w:t xml:space="preserve">الصناعات الغذائية</w:t>
            </w:r>
          </w:p>
        </w:tc>
        <w:tc>
          <w:tcPr/>
          <w:p>
            <w:pPr>
              <w:pStyle w:val="Compact"/>
              <w:bidi/>
              <w:jc w:val="left"/>
            </w:pPr>
            <w:r>
              <w:rPr>
                <w:rtl/>
              </w:rPr>
              <w:t xml:space="preserve">مرتفع</w:t>
            </w:r>
          </w:p>
        </w:tc>
        <w:tc>
          <w:tcPr/>
          <w:p>
            <w:pPr>
              <w:pStyle w:val="Compact"/>
              <w:bidi/>
              <w:jc w:val="left"/>
            </w:pPr>
            <w:r>
              <w:rPr>
                <w:rtl/>
              </w:rPr>
              <w:t xml:space="preserve">سريعة</w:t>
            </w:r>
          </w:p>
        </w:tc>
        <w:tc>
          <w:tcPr/>
          <w:p>
            <w:pPr>
              <w:pStyle w:val="Compact"/>
              <w:bidi/>
              <w:jc w:val="left"/>
            </w:pPr>
            <w:r>
              <w:rPr>
                <w:rtl/>
              </w:rPr>
              <w:t xml:space="preserve">مرتفعة</w:t>
            </w:r>
          </w:p>
        </w:tc>
        <w:tc>
          <w:tcPr/>
          <w:p>
            <w:pPr>
              <w:pStyle w:val="Compact"/>
              <w:bidi/>
              <w:jc w:val="left"/>
            </w:pPr>
            <w:r>
              <w:rPr>
                <w:rtl/>
              </w:rPr>
              <w:t xml:space="preserve">مرتفع</w:t>
            </w:r>
          </w:p>
        </w:tc>
        <w:tc>
          <w:tcPr/>
          <w:p>
            <w:pPr>
              <w:pStyle w:val="Compact"/>
              <w:bidi/>
              <w:jc w:val="left"/>
            </w:pPr>
            <w:r>
              <w:rPr>
                <w:rtl/>
              </w:rPr>
              <w:t xml:space="preserve">متوسط</w:t>
            </w:r>
          </w:p>
        </w:tc>
        <w:tc>
          <w:tcPr/>
          <w:p>
            <w:pPr>
              <w:pStyle w:val="Compact"/>
              <w:bidi/>
              <w:jc w:val="left"/>
            </w:pPr>
            <w:r>
              <w:rPr>
                <w:rtl/>
              </w:rPr>
              <w:t xml:space="preserve">مرتفعة</w:t>
            </w:r>
          </w:p>
        </w:tc>
      </w:tr>
      <w:tr>
        <w:tc>
          <w:tcPr/>
          <w:p>
            <w:pPr>
              <w:pStyle w:val="Compact"/>
              <w:bidi/>
              <w:jc w:val="left"/>
            </w:pPr>
            <w:r>
              <w:rPr>
                <w:rtl/>
              </w:rPr>
              <w:t xml:space="preserve">الأدوية</w:t>
            </w:r>
          </w:p>
        </w:tc>
        <w:tc>
          <w:tcPr/>
          <w:p>
            <w:pPr>
              <w:pStyle w:val="Compact"/>
              <w:bidi/>
              <w:jc w:val="left"/>
            </w:pPr>
            <w:r>
              <w:rPr>
                <w:rtl/>
              </w:rPr>
              <w:t xml:space="preserve">متوسط</w:t>
            </w:r>
          </w:p>
        </w:tc>
        <w:tc>
          <w:tcPr/>
          <w:p>
            <w:pPr>
              <w:pStyle w:val="Compact"/>
              <w:bidi/>
              <w:jc w:val="left"/>
            </w:pPr>
            <w:r>
              <w:rPr>
                <w:rtl/>
              </w:rPr>
              <w:t xml:space="preserve">متوسطة</w:t>
            </w:r>
          </w:p>
        </w:tc>
        <w:tc>
          <w:tcPr/>
          <w:p>
            <w:pPr>
              <w:pStyle w:val="Compact"/>
              <w:bidi/>
              <w:jc w:val="left"/>
            </w:pPr>
            <w:r>
              <w:rPr>
                <w:rtl/>
              </w:rPr>
              <w:t xml:space="preserve">متوسطة</w:t>
            </w:r>
          </w:p>
        </w:tc>
        <w:tc>
          <w:tcPr/>
          <w:p>
            <w:pPr>
              <w:pStyle w:val="Compact"/>
              <w:bidi/>
              <w:jc w:val="left"/>
            </w:pPr>
            <w:r>
              <w:rPr>
                <w:rtl/>
              </w:rPr>
              <w:t xml:space="preserve">مرتفع</w:t>
            </w:r>
          </w:p>
        </w:tc>
        <w:tc>
          <w:tcPr/>
          <w:p>
            <w:pPr>
              <w:pStyle w:val="Compact"/>
              <w:bidi/>
              <w:jc w:val="left"/>
            </w:pPr>
            <w:r>
              <w:rPr>
                <w:rtl/>
              </w:rPr>
              <w:t xml:space="preserve">منخفض</w:t>
            </w:r>
          </w:p>
        </w:tc>
        <w:tc>
          <w:tcPr/>
          <w:p>
            <w:pPr>
              <w:pStyle w:val="Compact"/>
              <w:bidi/>
              <w:jc w:val="left"/>
            </w:pPr>
            <w:r>
              <w:rPr>
                <w:rtl/>
              </w:rPr>
              <w:t xml:space="preserve">مرتفعة جداً</w:t>
            </w:r>
          </w:p>
        </w:tc>
      </w:tr>
      <w:tr>
        <w:tc>
          <w:tcPr/>
          <w:p>
            <w:pPr>
              <w:pStyle w:val="Compact"/>
              <w:bidi/>
              <w:jc w:val="left"/>
            </w:pPr>
            <w:r>
              <w:rPr>
                <w:rtl/>
              </w:rPr>
              <w:t xml:space="preserve">مواد البناء</w:t>
            </w:r>
          </w:p>
        </w:tc>
        <w:tc>
          <w:tcPr/>
          <w:p>
            <w:pPr>
              <w:pStyle w:val="Compact"/>
              <w:bidi/>
              <w:jc w:val="left"/>
            </w:pPr>
            <w:r>
              <w:rPr>
                <w:rtl/>
              </w:rPr>
              <w:t xml:space="preserve">مرتفع</w:t>
            </w:r>
          </w:p>
        </w:tc>
        <w:tc>
          <w:tcPr/>
          <w:p>
            <w:pPr>
              <w:pStyle w:val="Compact"/>
              <w:bidi/>
              <w:jc w:val="left"/>
            </w:pPr>
            <w:r>
              <w:rPr>
                <w:rtl/>
              </w:rPr>
              <w:t xml:space="preserve">سريعة</w:t>
            </w:r>
          </w:p>
        </w:tc>
        <w:tc>
          <w:tcPr/>
          <w:p>
            <w:pPr>
              <w:pStyle w:val="Compact"/>
              <w:bidi/>
              <w:jc w:val="left"/>
            </w:pPr>
            <w:r>
              <w:rPr>
                <w:rtl/>
              </w:rPr>
              <w:t xml:space="preserve">مرتفعة</w:t>
            </w:r>
          </w:p>
        </w:tc>
        <w:tc>
          <w:tcPr/>
          <w:p>
            <w:pPr>
              <w:pStyle w:val="Compact"/>
              <w:bidi/>
              <w:jc w:val="left"/>
            </w:pPr>
            <w:r>
              <w:rPr>
                <w:rtl/>
              </w:rPr>
              <w:t xml:space="preserve">مرتفع</w:t>
            </w:r>
          </w:p>
        </w:tc>
        <w:tc>
          <w:tcPr/>
          <w:p>
            <w:pPr>
              <w:pStyle w:val="Compact"/>
              <w:bidi/>
              <w:jc w:val="left"/>
            </w:pPr>
            <w:r>
              <w:rPr>
                <w:rtl/>
              </w:rPr>
              <w:t xml:space="preserve">منخفض</w:t>
            </w:r>
          </w:p>
        </w:tc>
        <w:tc>
          <w:tcPr/>
          <w:p>
            <w:pPr>
              <w:pStyle w:val="Compact"/>
              <w:bidi/>
              <w:jc w:val="left"/>
            </w:pPr>
            <w:r>
              <w:rPr>
                <w:rtl/>
              </w:rPr>
              <w:t xml:space="preserve">مرتفعة (الإعمار)</w:t>
            </w:r>
          </w:p>
        </w:tc>
      </w:tr>
      <w:tr>
        <w:tc>
          <w:tcPr/>
          <w:p>
            <w:pPr>
              <w:pStyle w:val="Compact"/>
              <w:bidi/>
              <w:jc w:val="left"/>
            </w:pPr>
            <w:r>
              <w:rPr>
                <w:rtl/>
              </w:rPr>
              <w:t xml:space="preserve">تصنيع اللحوم والجلود</w:t>
            </w:r>
          </w:p>
        </w:tc>
        <w:tc>
          <w:tcPr/>
          <w:p>
            <w:pPr>
              <w:pStyle w:val="Compact"/>
              <w:bidi/>
              <w:jc w:val="left"/>
            </w:pPr>
            <w:r>
              <w:rPr>
                <w:rtl/>
              </w:rPr>
              <w:t xml:space="preserve">مرتفع</w:t>
            </w:r>
          </w:p>
        </w:tc>
        <w:tc>
          <w:tcPr/>
          <w:p>
            <w:pPr>
              <w:pStyle w:val="Compact"/>
              <w:bidi/>
              <w:jc w:val="left"/>
            </w:pPr>
            <w:r>
              <w:rPr>
                <w:rtl/>
              </w:rPr>
              <w:t xml:space="preserve">متوسطة</w:t>
            </w:r>
          </w:p>
        </w:tc>
        <w:tc>
          <w:tcPr/>
          <w:p>
            <w:pPr>
              <w:pStyle w:val="Compact"/>
              <w:bidi/>
              <w:jc w:val="left"/>
            </w:pPr>
            <w:r>
              <w:rPr>
                <w:rtl/>
              </w:rPr>
              <w:t xml:space="preserve">مرتفعة</w:t>
            </w:r>
          </w:p>
        </w:tc>
        <w:tc>
          <w:tcPr/>
          <w:p>
            <w:pPr>
              <w:pStyle w:val="Compact"/>
              <w:bidi/>
              <w:jc w:val="left"/>
            </w:pPr>
            <w:r>
              <w:rPr>
                <w:rtl/>
              </w:rPr>
              <w:t xml:space="preserve">منخفض</w:t>
            </w:r>
          </w:p>
        </w:tc>
        <w:tc>
          <w:tcPr/>
          <w:p>
            <w:pPr>
              <w:pStyle w:val="Compact"/>
              <w:bidi/>
              <w:jc w:val="left"/>
            </w:pPr>
            <w:r>
              <w:rPr>
                <w:rtl/>
              </w:rPr>
              <w:t xml:space="preserve">مرتفع</w:t>
            </w:r>
          </w:p>
        </w:tc>
        <w:tc>
          <w:tcPr/>
          <w:p>
            <w:pPr>
              <w:pStyle w:val="Compact"/>
              <w:bidi/>
              <w:jc w:val="left"/>
            </w:pPr>
            <w:r>
              <w:rPr>
                <w:rtl/>
              </w:rPr>
              <w:t xml:space="preserve">متوسطة</w:t>
            </w:r>
          </w:p>
        </w:tc>
      </w:tr>
      <w:tr>
        <w:tc>
          <w:tcPr/>
          <w:p>
            <w:pPr>
              <w:pStyle w:val="Compact"/>
              <w:bidi/>
              <w:jc w:val="left"/>
            </w:pPr>
            <w:r>
              <w:rPr>
                <w:rtl/>
              </w:rPr>
              <w:t xml:space="preserve">الغزل والنسيج</w:t>
            </w:r>
          </w:p>
        </w:tc>
        <w:tc>
          <w:tcPr/>
          <w:p>
            <w:pPr>
              <w:pStyle w:val="Compact"/>
              <w:bidi/>
              <w:jc w:val="left"/>
            </w:pPr>
            <w:r>
              <w:rPr>
                <w:rtl/>
              </w:rPr>
              <w:t xml:space="preserve">متوسط</w:t>
            </w:r>
          </w:p>
        </w:tc>
        <w:tc>
          <w:tcPr/>
          <w:p>
            <w:pPr>
              <w:pStyle w:val="Compact"/>
              <w:bidi/>
              <w:jc w:val="left"/>
            </w:pPr>
            <w:r>
              <w:rPr>
                <w:rtl/>
              </w:rPr>
              <w:t xml:space="preserve">بطيئة</w:t>
            </w:r>
          </w:p>
        </w:tc>
        <w:tc>
          <w:tcPr/>
          <w:p>
            <w:pPr>
              <w:pStyle w:val="Compact"/>
              <w:bidi/>
              <w:jc w:val="left"/>
            </w:pPr>
            <w:r>
              <w:rPr>
                <w:rtl/>
              </w:rPr>
              <w:t xml:space="preserve">مرتفعة</w:t>
            </w:r>
          </w:p>
        </w:tc>
        <w:tc>
          <w:tcPr/>
          <w:p>
            <w:pPr>
              <w:pStyle w:val="Compact"/>
              <w:bidi/>
              <w:jc w:val="left"/>
            </w:pPr>
            <w:r>
              <w:rPr>
                <w:rtl/>
              </w:rPr>
              <w:t xml:space="preserve">متوسط</w:t>
            </w:r>
          </w:p>
        </w:tc>
        <w:tc>
          <w:tcPr/>
          <w:p>
            <w:pPr>
              <w:pStyle w:val="Compact"/>
              <w:bidi/>
              <w:jc w:val="left"/>
            </w:pPr>
            <w:r>
              <w:rPr>
                <w:rtl/>
              </w:rPr>
              <w:t xml:space="preserve">متوسط</w:t>
            </w:r>
          </w:p>
        </w:tc>
        <w:tc>
          <w:tcPr/>
          <w:p>
            <w:pPr>
              <w:pStyle w:val="Compact"/>
              <w:bidi/>
              <w:jc w:val="left"/>
            </w:pPr>
            <w:r>
              <w:rPr>
                <w:rtl/>
              </w:rPr>
              <w:t xml:space="preserve">متوسطة</w:t>
            </w:r>
          </w:p>
        </w:tc>
      </w:tr>
    </w:tbl>
    <w:p>
      <w:pPr>
        <w:pStyle w:val="BodyText"/>
        <w:bidi/>
      </w:pPr>
      <w:r>
        <w:rPr>
          <w:b/>
          <w:bCs/>
          <w:rtl/>
        </w:rPr>
        <w:t xml:space="preserve">والنتيجة:</w:t>
      </w:r>
      <w:r>
        <w:rPr>
          <w:rtl/>
        </w:rPr>
        <w:t xml:space="preserve"> </w:t>
      </w:r>
      <w:r>
        <w:rPr>
          <w:rtl/>
        </w:rPr>
        <w:t xml:space="preserve">الصناعات الغذائية ومواد البناء أولاً اقتصادياً، والأدوية أولاً اجتماعياً وأمنياً، ثم تصنيع اللحوم والجلود للتصدير.</w:t>
      </w:r>
    </w:p>
    <w:bookmarkEnd w:id="49"/>
    <w:bookmarkStart w:id="50" w:name="الطاقة"/>
    <w:p>
      <w:pPr>
        <w:pStyle w:val="Heading2"/>
        <w:bidi/>
      </w:pPr>
      <w:r>
        <w:rPr>
          <w:rtl/>
        </w:rPr>
        <w:t xml:space="preserve">الطاقة</w:t>
      </w:r>
    </w:p>
    <w:p>
      <w:pPr>
        <w:pStyle w:val="FirstParagraph"/>
        <w:bidi/>
      </w:pPr>
      <w:r>
        <w:rPr>
          <w:b/>
          <w:bCs/>
          <w:rtl/>
        </w:rPr>
        <w:t xml:space="preserve">تعريف الهدف:</w:t>
      </w:r>
      <w:r>
        <w:rPr>
          <w:rtl/>
        </w:rPr>
        <w:t xml:space="preserve"> </w:t>
      </w:r>
      <w:r>
        <w:rPr>
          <w:rtl/>
        </w:rPr>
        <w:t xml:space="preserve">مضاعفة</w:t>
      </w:r>
      <w:r>
        <w:rPr>
          <w:rtl/>
        </w:rPr>
        <w:t xml:space="preserve"> </w:t>
      </w:r>
      <w:r>
        <w:rPr>
          <w:b/>
          <w:bCs/>
          <w:rtl/>
        </w:rPr>
        <w:t xml:space="preserve">إنتاج الكهرباء الفعلي</w:t>
      </w:r>
      <w:r>
        <w:rPr>
          <w:rtl/>
        </w:rPr>
        <w:t xml:space="preserve"> </w:t>
      </w:r>
      <w:r>
        <w:rPr>
          <w:rtl/>
        </w:rPr>
        <w:t xml:space="preserve">(بالجيغاواط ساعة) ثلاث مرات بحلول 2034، مقارنة بمستوى 2025 الذي يُحدَّد في المسح الأولي، مع رفع نصيب المصادر المتجددة من الإنتاج.</w:t>
      </w:r>
      <w:r>
        <w:rPr>
          <w:rtl/>
        </w:rPr>
        <w:t xml:space="preserve"> </w:t>
      </w:r>
      <w:r>
        <w:rPr>
          <w:b/>
          <w:bCs/>
          <w:rtl/>
        </w:rPr>
        <w:t xml:space="preserve">والمدخل الأسرع</w:t>
      </w:r>
      <w:r>
        <w:rPr>
          <w:rtl/>
        </w:rPr>
        <w:t xml:space="preserve"> </w:t>
      </w:r>
      <w:r>
        <w:rPr>
          <w:rtl/>
        </w:rPr>
        <w:t xml:space="preserve">هو الطاقة الشمسية الموزعة للمستشفيات والمدارس ومحطات المياه والمشاريع الزراعية، ضمن برامج التعافي المبكر.</w:t>
      </w:r>
    </w:p>
    <w:bookmarkEnd w:id="50"/>
    <w:bookmarkStart w:id="51" w:name="النفط-والغاز-والخدمات-الرقمية"/>
    <w:p>
      <w:pPr>
        <w:pStyle w:val="Heading2"/>
        <w:bidi/>
      </w:pPr>
      <w:r>
        <w:rPr>
          <w:rtl/>
        </w:rPr>
        <w:t xml:space="preserve">النفط والغاز والخدمات الرقمية</w:t>
      </w:r>
    </w:p>
    <w:p>
      <w:pPr>
        <w:pStyle w:val="FirstParagraph"/>
        <w:bidi/>
      </w:pPr>
      <w:r>
        <w:rPr>
          <w:rtl/>
        </w:rPr>
        <w:t xml:space="preserve">إعادة تأهيل الحقول والمصافي، وإدارة رسوم عبور نفط جنوب السودان بمنطق تجاري؛ ودراسة الغاز الطبيعي لحل مشكلتي الكهرباء والأسمدة؛ وتصدير الخدمات الرقمية بوصفه قطاعاً يقوم على الشباب ويمكن أن يبدأ خلال أشهر.</w:t>
      </w:r>
    </w:p>
    <w:p>
      <w:pPr>
        <w:bidi/>
      </w:pPr>
      <w:r>
        <w:rPr>
          <w:rtl/>
        </w:rPr>
        <w:br w:type="page"/>
      </w:r>
    </w:p>
    <w:bookmarkEnd w:id="51"/>
    <w:bookmarkEnd w:id="52"/>
    <w:bookmarkStart w:id="53" w:name="عاشرا-الاستثمار-والقطاع-الخاص"/>
    <w:p>
      <w:pPr>
        <w:pStyle w:val="Heading1"/>
        <w:bidi/>
      </w:pPr>
      <w:r>
        <w:rPr>
          <w:rtl/>
        </w:rPr>
        <w:t xml:space="preserve">عاشراً: الاستثمار والقطاع الخاص</w:t>
      </w:r>
    </w:p>
    <w:p>
      <w:pPr>
        <w:pStyle w:val="FirstParagraph"/>
        <w:bidi/>
      </w:pPr>
      <w:r>
        <w:rPr>
          <w:rtl/>
        </w:rPr>
        <w:t xml:space="preserve">لن تستطيع الدولة تمويل ما بين 100 و171 مليار دولار من الموارد العامة. لذلك يقوم الإعمار والنمو على القطاع الخاص، المحلي والأجنبي،</w:t>
      </w:r>
      <w:r>
        <w:rPr>
          <w:rtl/>
        </w:rPr>
        <w:t xml:space="preserve"> </w:t>
      </w:r>
      <w:r>
        <w:rPr>
          <w:b/>
          <w:bCs/>
          <w:rtl/>
        </w:rPr>
        <w:t xml:space="preserve">بإطار استثماري واضح:</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المكون</w:t>
            </w:r>
          </w:p>
        </w:tc>
        <w:tc>
          <w:tcPr/>
          <w:p>
            <w:pPr>
              <w:pStyle w:val="Compact"/>
              <w:bidi/>
              <w:jc w:val="left"/>
            </w:pPr>
            <w:r>
              <w:rPr>
                <w:rtl/>
              </w:rPr>
              <w:t xml:space="preserve">الإجراء</w:t>
            </w:r>
          </w:p>
        </w:tc>
      </w:tr>
      <w:tr>
        <w:tc>
          <w:tcPr/>
          <w:p>
            <w:pPr>
              <w:pStyle w:val="Compact"/>
              <w:bidi/>
              <w:jc w:val="left"/>
            </w:pPr>
            <w:r>
              <w:rPr>
                <w:b/>
                <w:bCs/>
                <w:rtl/>
              </w:rPr>
              <w:t xml:space="preserve">حماية الملكية</w:t>
            </w:r>
          </w:p>
        </w:tc>
        <w:tc>
          <w:tcPr/>
          <w:p>
            <w:pPr>
              <w:pStyle w:val="Compact"/>
              <w:bidi/>
              <w:jc w:val="left"/>
            </w:pPr>
            <w:r>
              <w:rPr>
                <w:rtl/>
              </w:rPr>
              <w:t xml:space="preserve">نص دستوري وقانون يحظران المصادرة دون تعويض عادل</w:t>
            </w:r>
          </w:p>
        </w:tc>
      </w:tr>
      <w:tr>
        <w:tc>
          <w:tcPr/>
          <w:p>
            <w:pPr>
              <w:pStyle w:val="Compact"/>
              <w:bidi/>
              <w:jc w:val="left"/>
            </w:pPr>
            <w:r>
              <w:rPr>
                <w:b/>
                <w:bCs/>
                <w:rtl/>
              </w:rPr>
              <w:t xml:space="preserve">التحكيم</w:t>
            </w:r>
          </w:p>
        </w:tc>
        <w:tc>
          <w:tcPr/>
          <w:p>
            <w:pPr>
              <w:pStyle w:val="Compact"/>
              <w:bidi/>
              <w:jc w:val="left"/>
            </w:pPr>
            <w:r>
              <w:rPr>
                <w:rtl/>
              </w:rPr>
              <w:t xml:space="preserve">الانضمام إلى آليات التحكيم الدولية، ومحاكم تجارية فعالة</w:t>
            </w:r>
          </w:p>
        </w:tc>
      </w:tr>
      <w:tr>
        <w:tc>
          <w:tcPr/>
          <w:p>
            <w:pPr>
              <w:pStyle w:val="Compact"/>
              <w:bidi/>
              <w:jc w:val="left"/>
            </w:pPr>
            <w:r>
              <w:rPr>
                <w:b/>
                <w:bCs/>
                <w:rtl/>
              </w:rPr>
              <w:t xml:space="preserve">ضمانات الاستثمار</w:t>
            </w:r>
          </w:p>
        </w:tc>
        <w:tc>
          <w:tcPr/>
          <w:p>
            <w:pPr>
              <w:pStyle w:val="Compact"/>
              <w:bidi/>
              <w:jc w:val="left"/>
            </w:pPr>
            <w:r>
              <w:rPr>
                <w:rtl/>
              </w:rPr>
              <w:t xml:space="preserve">الاستفادة من وكالات ضمان الاستثمار متعددة الأطراف</w:t>
            </w:r>
          </w:p>
        </w:tc>
      </w:tr>
      <w:tr>
        <w:tc>
          <w:tcPr/>
          <w:p>
            <w:pPr>
              <w:pStyle w:val="Compact"/>
              <w:bidi/>
              <w:jc w:val="left"/>
            </w:pPr>
            <w:r>
              <w:rPr>
                <w:b/>
                <w:bCs/>
                <w:rtl/>
              </w:rPr>
              <w:t xml:space="preserve">تسجيل الشركات</w:t>
            </w:r>
          </w:p>
        </w:tc>
        <w:tc>
          <w:tcPr/>
          <w:p>
            <w:pPr>
              <w:pStyle w:val="Compact"/>
              <w:bidi/>
              <w:jc w:val="left"/>
            </w:pPr>
            <w:r>
              <w:rPr>
                <w:rtl/>
              </w:rPr>
              <w:t xml:space="preserve">تسجيل إلكتروني خلال أيام</w:t>
            </w:r>
          </w:p>
        </w:tc>
      </w:tr>
      <w:tr>
        <w:tc>
          <w:tcPr/>
          <w:p>
            <w:pPr>
              <w:pStyle w:val="Compact"/>
              <w:bidi/>
              <w:jc w:val="left"/>
            </w:pPr>
            <w:r>
              <w:rPr>
                <w:b/>
                <w:bCs/>
                <w:rtl/>
              </w:rPr>
              <w:t xml:space="preserve">الإفلاس</w:t>
            </w:r>
          </w:p>
        </w:tc>
        <w:tc>
          <w:tcPr/>
          <w:p>
            <w:pPr>
              <w:pStyle w:val="Compact"/>
              <w:bidi/>
              <w:jc w:val="left"/>
            </w:pPr>
            <w:r>
              <w:rPr>
                <w:rtl/>
              </w:rPr>
              <w:t xml:space="preserve">قانون حديث للإفلاس وإعادة الهيكلة</w:t>
            </w:r>
          </w:p>
        </w:tc>
      </w:tr>
      <w:tr>
        <w:tc>
          <w:tcPr/>
          <w:p>
            <w:pPr>
              <w:pStyle w:val="Compact"/>
              <w:bidi/>
              <w:jc w:val="left"/>
            </w:pPr>
            <w:r>
              <w:rPr>
                <w:b/>
                <w:bCs/>
                <w:rtl/>
              </w:rPr>
              <w:t xml:space="preserve">المنافسة</w:t>
            </w:r>
          </w:p>
        </w:tc>
        <w:tc>
          <w:tcPr/>
          <w:p>
            <w:pPr>
              <w:pStyle w:val="Compact"/>
              <w:bidi/>
              <w:jc w:val="left"/>
            </w:pPr>
            <w:r>
              <w:rPr>
                <w:rtl/>
              </w:rPr>
              <w:t xml:space="preserve">قانون ومفوضية للمنافسة ومنع الاحتكار</w:t>
            </w:r>
          </w:p>
        </w:tc>
      </w:tr>
      <w:tr>
        <w:tc>
          <w:tcPr/>
          <w:p>
            <w:pPr>
              <w:pStyle w:val="Compact"/>
              <w:bidi/>
              <w:jc w:val="left"/>
            </w:pPr>
            <w:r>
              <w:rPr>
                <w:b/>
                <w:bCs/>
                <w:rtl/>
              </w:rPr>
              <w:t xml:space="preserve">الأراضي الصناعية</w:t>
            </w:r>
          </w:p>
        </w:tc>
        <w:tc>
          <w:tcPr/>
          <w:p>
            <w:pPr>
              <w:pStyle w:val="Compact"/>
              <w:bidi/>
              <w:jc w:val="left"/>
            </w:pPr>
            <w:r>
              <w:rPr>
                <w:rtl/>
              </w:rPr>
              <w:t xml:space="preserve">أراضٍ مخدومة بالكهرباء والطرق بعقود شفافة</w:t>
            </w:r>
          </w:p>
        </w:tc>
      </w:tr>
      <w:tr>
        <w:tc>
          <w:tcPr/>
          <w:p>
            <w:pPr>
              <w:pStyle w:val="Compact"/>
              <w:bidi/>
              <w:jc w:val="left"/>
            </w:pPr>
            <w:r>
              <w:rPr>
                <w:b/>
                <w:bCs/>
                <w:rtl/>
              </w:rPr>
              <w:t xml:space="preserve">المناطق الاقتصادية الخاصة</w:t>
            </w:r>
          </w:p>
        </w:tc>
        <w:tc>
          <w:tcPr/>
          <w:p>
            <w:pPr>
              <w:pStyle w:val="Compact"/>
              <w:bidi/>
              <w:jc w:val="left"/>
            </w:pPr>
            <w:r>
              <w:rPr>
                <w:rtl/>
              </w:rPr>
              <w:t xml:space="preserve">في بورتسودان والمعابر الحدودية</w:t>
            </w:r>
          </w:p>
        </w:tc>
      </w:tr>
      <w:tr>
        <w:tc>
          <w:tcPr/>
          <w:p>
            <w:pPr>
              <w:pStyle w:val="Compact"/>
              <w:bidi/>
              <w:jc w:val="left"/>
            </w:pPr>
            <w:r>
              <w:rPr>
                <w:b/>
                <w:bCs/>
                <w:rtl/>
              </w:rPr>
              <w:t xml:space="preserve">الشراكة بين القطاعين العام والخاص</w:t>
            </w:r>
          </w:p>
        </w:tc>
        <w:tc>
          <w:tcPr/>
          <w:p>
            <w:pPr>
              <w:pStyle w:val="Compact"/>
              <w:bidi/>
              <w:jc w:val="left"/>
            </w:pPr>
            <w:r>
              <w:rPr>
                <w:rtl/>
              </w:rPr>
              <w:t xml:space="preserve">قانون ينظمها، ونشر كل العقود</w:t>
            </w:r>
          </w:p>
        </w:tc>
      </w:tr>
      <w:tr>
        <w:tc>
          <w:tcPr/>
          <w:p>
            <w:pPr>
              <w:pStyle w:val="Compact"/>
              <w:bidi/>
              <w:jc w:val="left"/>
            </w:pPr>
            <w:r>
              <w:rPr>
                <w:b/>
                <w:bCs/>
                <w:rtl/>
              </w:rPr>
              <w:t xml:space="preserve">المغتربون</w:t>
            </w:r>
          </w:p>
        </w:tc>
        <w:tc>
          <w:tcPr/>
          <w:p>
            <w:pPr>
              <w:pStyle w:val="Compact"/>
              <w:bidi/>
              <w:jc w:val="left"/>
            </w:pPr>
            <w:r>
              <w:rPr>
                <w:rtl/>
              </w:rPr>
              <w:t xml:space="preserve">سندات للمغتربين، وحوافز لإعادة رأس المال السوداني</w:t>
            </w:r>
          </w:p>
        </w:tc>
      </w:tr>
      <w:tr>
        <w:tc>
          <w:tcPr/>
          <w:p>
            <w:pPr>
              <w:pStyle w:val="Compact"/>
              <w:bidi/>
              <w:jc w:val="left"/>
            </w:pPr>
            <w:r>
              <w:rPr>
                <w:b/>
                <w:bCs/>
                <w:rtl/>
              </w:rPr>
              <w:t xml:space="preserve">صناديق الاستثمار</w:t>
            </w:r>
          </w:p>
        </w:tc>
        <w:tc>
          <w:tcPr/>
          <w:p>
            <w:pPr>
              <w:pStyle w:val="Compact"/>
              <w:bidi/>
              <w:jc w:val="left"/>
            </w:pPr>
            <w:r>
              <w:rPr>
                <w:rtl/>
              </w:rPr>
              <w:t xml:space="preserve">صندوق إعادة إعمار وتنمية السودان، وصناديق قطاعية</w:t>
            </w:r>
          </w:p>
        </w:tc>
      </w:tr>
    </w:tbl>
    <w:p>
      <w:pPr>
        <w:bidi/>
      </w:pPr>
      <w:r>
        <w:rPr>
          <w:rtl/>
        </w:rPr>
        <w:br w:type="page"/>
      </w:r>
    </w:p>
    <w:bookmarkEnd w:id="53"/>
    <w:bookmarkStart w:id="54" w:name="حادي-عشر-العمل-والإنتاجية"/>
    <w:p>
      <w:pPr>
        <w:pStyle w:val="Heading1"/>
        <w:bidi/>
      </w:pPr>
      <w:r>
        <w:rPr>
          <w:rtl/>
        </w:rPr>
        <w:t xml:space="preserve">حادي عشر: العمل والإنتاجية</w:t>
      </w:r>
    </w:p>
    <w:p>
      <w:pPr>
        <w:pStyle w:val="FirstParagraph"/>
        <w:bidi/>
      </w:pPr>
      <w:r>
        <w:rPr>
          <w:rtl/>
        </w:rPr>
        <w:t xml:space="preserve">إن الناتج وحده لا يكفي. فقد يصل الناتج إلى 101 مليار دولار في 2034، لكن إذا لم ترتفع الوظائف والإنتاجية، فلن يشعر الناس بالتحسن.</w:t>
      </w:r>
      <w:r>
        <w:rPr>
          <w:rtl/>
        </w:rPr>
        <w:t xml:space="preserve"> </w:t>
      </w:r>
      <w:r>
        <w:rPr>
          <w:b/>
          <w:bCs/>
          <w:rtl/>
        </w:rPr>
        <w:t xml:space="preserve">لذلك تضيف الورقة إلى مؤشرات النجاح:</w:t>
      </w:r>
    </w:p>
    <w:p>
      <w:pPr>
        <w:pStyle w:val="Compact"/>
        <w:numPr>
          <w:ilvl w:val="0"/>
          <w:numId w:val="1004"/>
        </w:numPr>
        <w:bidi/>
      </w:pPr>
      <w:r>
        <w:rPr>
          <w:b/>
          <w:bCs/>
          <w:rtl/>
        </w:rPr>
        <w:t xml:space="preserve">نصيب الفرد من الناتج</w:t>
      </w:r>
      <w:r>
        <w:rPr>
          <w:rtl/>
        </w:rPr>
        <w:t xml:space="preserve">، وهو المؤشر الأدق لمستوى المعيشة.</w:t>
      </w:r>
    </w:p>
    <w:p>
      <w:pPr>
        <w:pStyle w:val="Compact"/>
        <w:numPr>
          <w:ilvl w:val="0"/>
          <w:numId w:val="1004"/>
        </w:numPr>
        <w:bidi/>
      </w:pPr>
      <w:r>
        <w:rPr>
          <w:b/>
          <w:bCs/>
          <w:rtl/>
        </w:rPr>
        <w:t xml:space="preserve">الوظائف المستحدثة</w:t>
      </w:r>
      <w:r>
        <w:rPr>
          <w:rtl/>
        </w:rPr>
        <w:t xml:space="preserve"> </w:t>
      </w:r>
      <w:r>
        <w:rPr>
          <w:rtl/>
        </w:rPr>
        <w:t xml:space="preserve">سنوياً، في القطاعين الرسمي وغير الرسمي.</w:t>
      </w:r>
    </w:p>
    <w:p>
      <w:pPr>
        <w:pStyle w:val="Compact"/>
        <w:numPr>
          <w:ilvl w:val="0"/>
          <w:numId w:val="1004"/>
        </w:numPr>
        <w:bidi/>
      </w:pPr>
      <w:r>
        <w:rPr>
          <w:b/>
          <w:bCs/>
          <w:rtl/>
        </w:rPr>
        <w:t xml:space="preserve">معدل البطالة</w:t>
      </w:r>
      <w:r>
        <w:rPr>
          <w:rtl/>
        </w:rPr>
        <w:t xml:space="preserve">، خصوصاً بين الشباب والنساء.</w:t>
      </w:r>
    </w:p>
    <w:p>
      <w:pPr>
        <w:pStyle w:val="Compact"/>
        <w:numPr>
          <w:ilvl w:val="0"/>
          <w:numId w:val="1004"/>
        </w:numPr>
        <w:bidi/>
      </w:pPr>
      <w:r>
        <w:rPr>
          <w:b/>
          <w:bCs/>
          <w:rtl/>
        </w:rPr>
        <w:t xml:space="preserve">إنتاجية العمل</w:t>
      </w:r>
      <w:r>
        <w:rPr>
          <w:rtl/>
        </w:rPr>
        <w:t xml:space="preserve"> </w:t>
      </w:r>
      <w:r>
        <w:rPr>
          <w:rtl/>
        </w:rPr>
        <w:t xml:space="preserve">(الناتج مقسوماً على عدد العاملين).</w:t>
      </w:r>
    </w:p>
    <w:p>
      <w:pPr>
        <w:pStyle w:val="FirstParagraph"/>
        <w:bidi/>
      </w:pPr>
      <w:r>
        <w:rPr>
          <w:rtl/>
        </w:rPr>
        <w:t xml:space="preserve">ولا تتوفر اليوم بيانات موثوقة عن سوق العمل بعد الحرب. لذلك يبدأ العمل</w:t>
      </w:r>
      <w:r>
        <w:rPr>
          <w:rtl/>
        </w:rPr>
        <w:t xml:space="preserve"> </w:t>
      </w:r>
      <w:r>
        <w:rPr>
          <w:b/>
          <w:bCs/>
          <w:rtl/>
        </w:rPr>
        <w:t xml:space="preserve">بمسح وطني للقوى العاملة</w:t>
      </w:r>
      <w:r>
        <w:rPr>
          <w:rtl/>
        </w:rPr>
        <w:t xml:space="preserve"> </w:t>
      </w:r>
      <w:r>
        <w:rPr>
          <w:rtl/>
        </w:rPr>
        <w:t xml:space="preserve">خلال السنة الأولى، يحدد خط الأساس لهذه المؤشرات.</w:t>
      </w:r>
    </w:p>
    <w:p>
      <w:pPr>
        <w:bidi/>
      </w:pPr>
      <w:r>
        <w:rPr>
          <w:rtl/>
        </w:rPr>
        <w:br w:type="page"/>
      </w:r>
    </w:p>
    <w:bookmarkEnd w:id="54"/>
    <w:bookmarkStart w:id="55" w:name="ثاني-عشر-الاقتصاد-السياسي-للإصلاح"/>
    <w:p>
      <w:pPr>
        <w:pStyle w:val="Heading1"/>
        <w:bidi/>
      </w:pPr>
      <w:r>
        <w:rPr>
          <w:rtl/>
        </w:rPr>
        <w:t xml:space="preserve">ثاني عشر: الاقتصاد السياسي للإصلاح</w:t>
      </w:r>
    </w:p>
    <w:p>
      <w:pPr>
        <w:pStyle w:val="FirstParagraph"/>
        <w:bidi/>
      </w:pPr>
      <w:r>
        <w:rPr>
          <w:rtl/>
        </w:rPr>
        <w:t xml:space="preserve">إن الإصلاح الاقتصادي في السودان يعيد توزيع القوة والثروة.</w:t>
      </w:r>
      <w:r>
        <w:rPr>
          <w:rtl/>
        </w:rPr>
        <w:t xml:space="preserve"> </w:t>
      </w:r>
      <w:r>
        <w:rPr>
          <w:b/>
          <w:bCs/>
          <w:rtl/>
        </w:rPr>
        <w:t xml:space="preserve">ولن نبني اقتصاداً جديداً بإعادة توزيع الامتيازات القديمة.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مصالح تتأثر بالإصلاح</w:t>
            </w:r>
          </w:p>
        </w:tc>
        <w:tc>
          <w:tcPr/>
          <w:p>
            <w:pPr>
              <w:pStyle w:val="Compact"/>
              <w:bidi/>
              <w:jc w:val="left"/>
            </w:pPr>
            <w:r>
              <w:rPr>
                <w:rtl/>
              </w:rPr>
              <w:t xml:space="preserve">فئات تستفيد من الإصلاح</w:t>
            </w:r>
          </w:p>
        </w:tc>
      </w:tr>
      <w:tr>
        <w:tc>
          <w:tcPr/>
          <w:p>
            <w:pPr>
              <w:pStyle w:val="Compact"/>
              <w:bidi/>
              <w:jc w:val="left"/>
            </w:pPr>
            <w:r>
              <w:rPr>
                <w:rtl/>
              </w:rPr>
              <w:t xml:space="preserve">الشركات المملوكة للأجهزة العسكرية والأمنية</w:t>
            </w:r>
          </w:p>
        </w:tc>
        <w:tc>
          <w:tcPr/>
          <w:p>
            <w:pPr>
              <w:pStyle w:val="Compact"/>
              <w:bidi/>
              <w:jc w:val="left"/>
            </w:pPr>
            <w:r>
              <w:rPr>
                <w:rtl/>
              </w:rPr>
              <w:t xml:space="preserve">المنتج الصغير: المزارع والراعي والحرفي</w:t>
            </w:r>
          </w:p>
        </w:tc>
      </w:tr>
      <w:tr>
        <w:tc>
          <w:tcPr/>
          <w:p>
            <w:pPr>
              <w:pStyle w:val="Compact"/>
              <w:bidi/>
              <w:jc w:val="left"/>
            </w:pPr>
            <w:r>
              <w:rPr>
                <w:rtl/>
              </w:rPr>
              <w:t xml:space="preserve">شبكات تهريب الذهب والموارد</w:t>
            </w:r>
          </w:p>
        </w:tc>
        <w:tc>
          <w:tcPr/>
          <w:p>
            <w:pPr>
              <w:pStyle w:val="Compact"/>
              <w:bidi/>
              <w:jc w:val="left"/>
            </w:pPr>
            <w:r>
              <w:rPr>
                <w:rtl/>
              </w:rPr>
              <w:t xml:space="preserve">رجل الأعمال الملتزم بالقانون</w:t>
            </w:r>
          </w:p>
        </w:tc>
      </w:tr>
      <w:tr>
        <w:tc>
          <w:tcPr/>
          <w:p>
            <w:pPr>
              <w:pStyle w:val="Compact"/>
              <w:bidi/>
              <w:jc w:val="left"/>
            </w:pPr>
            <w:r>
              <w:rPr>
                <w:rtl/>
              </w:rPr>
              <w:t xml:space="preserve">المحتكرون والمستفيدون من الإعفاءات الاستثنائية</w:t>
            </w:r>
          </w:p>
        </w:tc>
        <w:tc>
          <w:tcPr/>
          <w:p>
            <w:pPr>
              <w:pStyle w:val="Compact"/>
              <w:bidi/>
              <w:jc w:val="left"/>
            </w:pPr>
            <w:r>
              <w:rPr>
                <w:rtl/>
              </w:rPr>
              <w:t xml:space="preserve">الموظف والمعلم والطبيب</w:t>
            </w:r>
          </w:p>
        </w:tc>
      </w:tr>
      <w:tr>
        <w:tc>
          <w:tcPr/>
          <w:p>
            <w:pPr>
              <w:pStyle w:val="Compact"/>
              <w:bidi/>
              <w:jc w:val="left"/>
            </w:pPr>
            <w:r>
              <w:rPr>
                <w:rtl/>
              </w:rPr>
              <w:t xml:space="preserve">المستفيدون من تعدد أسعار الصرف</w:t>
            </w:r>
          </w:p>
        </w:tc>
        <w:tc>
          <w:tcPr/>
          <w:p>
            <w:pPr>
              <w:pStyle w:val="Compact"/>
              <w:bidi/>
              <w:jc w:val="left"/>
            </w:pPr>
            <w:r>
              <w:rPr>
                <w:rtl/>
              </w:rPr>
              <w:t xml:space="preserve">الأقاليم</w:t>
            </w:r>
          </w:p>
        </w:tc>
      </w:tr>
      <w:tr>
        <w:tc>
          <w:tcPr/>
          <w:p>
            <w:pPr>
              <w:pStyle w:val="Compact"/>
              <w:bidi/>
              <w:jc w:val="left"/>
            </w:pPr>
            <w:r>
              <w:rPr>
                <w:rtl/>
              </w:rPr>
              <w:t xml:space="preserve">المستولون على الأراضي بالقوة</w:t>
            </w:r>
          </w:p>
        </w:tc>
        <w:tc>
          <w:tcPr/>
          <w:p>
            <w:pPr>
              <w:pStyle w:val="Compact"/>
              <w:bidi/>
              <w:jc w:val="left"/>
            </w:pPr>
            <w:r>
              <w:rPr>
                <w:rtl/>
              </w:rPr>
              <w:t xml:space="preserve">الفقراء</w:t>
            </w:r>
          </w:p>
        </w:tc>
      </w:tr>
    </w:tbl>
    <w:p>
      <w:pPr>
        <w:pStyle w:val="BodyText"/>
        <w:bidi/>
      </w:pPr>
      <w:r>
        <w:rPr>
          <w:b/>
          <w:bCs/>
          <w:rtl/>
        </w:rPr>
        <w:t xml:space="preserve">وإدارة هذا التحول</w:t>
      </w:r>
      <w:r>
        <w:rPr>
          <w:rtl/>
        </w:rPr>
        <w:t xml:space="preserve"> </w:t>
      </w:r>
      <w:r>
        <w:rPr>
          <w:rtl/>
        </w:rPr>
        <w:t xml:space="preserve">تتطلب: تدرجاً معلناً، وشبكة حماية للأضعف، وشفافية كاملة في نقل الشركات وبيعها، وقانوناً يُطبَّق على الكبير قبل الصغير.</w:t>
      </w:r>
    </w:p>
    <w:p>
      <w:pPr>
        <w:bidi/>
      </w:pPr>
      <w:r>
        <w:rPr>
          <w:rtl/>
        </w:rPr>
        <w:br w:type="page"/>
      </w:r>
    </w:p>
    <w:bookmarkEnd w:id="55"/>
    <w:bookmarkStart w:id="56" w:name="ثالث-عشر-الحماية-الاجتماعية"/>
    <w:p>
      <w:pPr>
        <w:pStyle w:val="Heading1"/>
        <w:bidi/>
      </w:pPr>
      <w:r>
        <w:rPr>
          <w:rtl/>
        </w:rPr>
        <w:t xml:space="preserve">ثالث عشر: الحماية الاجتماعية</w:t>
      </w:r>
    </w:p>
    <w:p>
      <w:pPr>
        <w:pStyle w:val="FirstParagraph"/>
        <w:bidi/>
      </w:pPr>
      <w:r>
        <w:rPr>
          <w:b/>
          <w:bCs/>
          <w:rtl/>
        </w:rPr>
        <w:t xml:space="preserve">التحويلات النقدية المستهدفة</w:t>
      </w:r>
      <w:r>
        <w:rPr>
          <w:rtl/>
        </w:rPr>
        <w:t xml:space="preserve"> </w:t>
      </w:r>
      <w:r>
        <w:rPr>
          <w:rtl/>
        </w:rPr>
        <w:t xml:space="preserve">عبر الهوية الرقمية هي الأداة الأسرع والأقل فساداً، وهي شرط مسبق لإصلاح الدعم.</w:t>
      </w:r>
      <w:r>
        <w:rPr>
          <w:rtl/>
        </w:rPr>
        <w:t xml:space="preserve"> </w:t>
      </w:r>
      <w:r>
        <w:rPr>
          <w:b/>
          <w:bCs/>
          <w:rtl/>
        </w:rPr>
        <w:t xml:space="preserve">والدخل الأساسي المضمون الشامل</w:t>
      </w:r>
      <w:r>
        <w:rPr>
          <w:rtl/>
        </w:rPr>
        <w:t xml:space="preserve"> </w:t>
      </w:r>
      <w:r>
        <w:rPr>
          <w:rtl/>
        </w:rPr>
        <w:t xml:space="preserve">(50 دولاراً شهرياً لكل بالغ) يكلف نحو 17.1 مليار دولار سنوياً، أي نحو 28% من الناتج المحلي لعام 2025، وهو غير ممكن مالياً في الأفق المنظور. أما</w:t>
      </w:r>
      <w:r>
        <w:rPr>
          <w:rtl/>
        </w:rPr>
        <w:t xml:space="preserve"> </w:t>
      </w:r>
      <w:r>
        <w:rPr>
          <w:b/>
          <w:bCs/>
          <w:rtl/>
        </w:rPr>
        <w:t xml:space="preserve">التجربة الرائدة</w:t>
      </w:r>
      <w:r>
        <w:rPr>
          <w:rtl/>
        </w:rPr>
        <w:t xml:space="preserve"> </w:t>
      </w:r>
      <w:r>
        <w:rPr>
          <w:rtl/>
        </w:rPr>
        <w:t xml:space="preserve">لعشرة آلاف أسرة لمدة سنتين فتكلف نحو 36 مليون دولار. ومصدر الرقمين ومنهج حسابهما في جدول المصادر، وتفصيلهما في ورقة التوفير الشامل.</w:t>
      </w:r>
    </w:p>
    <w:p>
      <w:pPr>
        <w:bidi/>
      </w:pPr>
      <w:r>
        <w:rPr>
          <w:rtl/>
        </w:rPr>
        <w:br w:type="page"/>
      </w:r>
    </w:p>
    <w:bookmarkEnd w:id="56"/>
    <w:bookmarkStart w:id="59" w:name="رابع-عشر-الكلفة-والتمويل"/>
    <w:p>
      <w:pPr>
        <w:pStyle w:val="Heading1"/>
        <w:bidi/>
      </w:pPr>
      <w:r>
        <w:rPr>
          <w:rtl/>
        </w:rPr>
        <w:t xml:space="preserve">رابع عشر: الكلفة والتمويل</w:t>
      </w:r>
    </w:p>
    <w:bookmarkStart w:id="57" w:name="الكلفة-الإجمالية"/>
    <w:p>
      <w:pPr>
        <w:pStyle w:val="Heading2"/>
        <w:bidi/>
      </w:pPr>
      <w:r>
        <w:rPr>
          <w:rtl/>
        </w:rPr>
        <w:t xml:space="preserve">الكلفة الإجمالية</w:t>
      </w:r>
    </w:p>
    <w:p>
      <w:pPr>
        <w:pStyle w:val="FirstParagraph"/>
        <w:bidi/>
      </w:pPr>
      <w:r>
        <w:rPr>
          <w:rtl/>
        </w:rPr>
        <w:t xml:space="preserve">على أفق مالي من عشر سنوات تقريباً</w:t>
      </w:r>
      <w:r>
        <w:rPr>
          <w:rtl/>
        </w:rPr>
        <w:t xml:space="preserve"> </w:t>
      </w:r>
      <w:r>
        <w:rPr>
          <w:i/>
          <w:iCs/>
          <w:rtl/>
        </w:rPr>
        <w:t xml:space="preserve">(تقديرات عليا من ملحق الكلفة في الرؤية؛ لا يمكن تدقيقها مشروعاً مشروعاً قبل إعداد مصفوفة الكلفة التفصيلية)</w:t>
      </w:r>
      <w:r>
        <w:rPr>
          <w:rtl/>
        </w:rPr>
        <w:t xml:space="preserve">:</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البند</w:t>
            </w:r>
          </w:p>
        </w:tc>
        <w:tc>
          <w:tcPr/>
          <w:p>
            <w:pPr>
              <w:pStyle w:val="Compact"/>
              <w:bidi/>
              <w:jc w:val="left"/>
            </w:pPr>
            <w:r>
              <w:rPr>
                <w:rtl/>
              </w:rPr>
              <w:t xml:space="preserve">التقدير</w:t>
            </w:r>
          </w:p>
        </w:tc>
      </w:tr>
      <w:tr>
        <w:tc>
          <w:tcPr/>
          <w:p>
            <w:pPr>
              <w:pStyle w:val="Compact"/>
              <w:bidi/>
              <w:jc w:val="left"/>
            </w:pPr>
            <w:r>
              <w:rPr>
                <w:rtl/>
              </w:rPr>
              <w:t xml:space="preserve">البرامج الاستثمارية والطارئة</w:t>
            </w:r>
          </w:p>
        </w:tc>
        <w:tc>
          <w:tcPr/>
          <w:p>
            <w:pPr>
              <w:pStyle w:val="Compact"/>
              <w:bidi/>
              <w:jc w:val="left"/>
            </w:pPr>
            <w:r>
              <w:rPr>
                <w:rtl/>
              </w:rPr>
              <w:t xml:space="preserve">100 إلى 171 مليار دولار</w:t>
            </w:r>
          </w:p>
        </w:tc>
      </w:tr>
      <w:tr>
        <w:tc>
          <w:tcPr/>
          <w:p>
            <w:pPr>
              <w:pStyle w:val="Compact"/>
              <w:bidi/>
              <w:jc w:val="left"/>
            </w:pPr>
            <w:r>
              <w:rPr>
                <w:rtl/>
              </w:rPr>
              <w:t xml:space="preserve">منظومة الأمن والدفاع</w:t>
            </w:r>
          </w:p>
        </w:tc>
        <w:tc>
          <w:tcPr/>
          <w:p>
            <w:pPr>
              <w:pStyle w:val="Compact"/>
              <w:bidi/>
              <w:jc w:val="left"/>
            </w:pPr>
            <w:r>
              <w:rPr>
                <w:rtl/>
              </w:rPr>
              <w:t xml:space="preserve">43.5 إلى 59 مليار دولار</w:t>
            </w:r>
          </w:p>
        </w:tc>
      </w:tr>
      <w:tr>
        <w:tc>
          <w:tcPr/>
          <w:p>
            <w:pPr>
              <w:pStyle w:val="Compact"/>
              <w:bidi/>
              <w:jc w:val="left"/>
            </w:pPr>
            <w:r>
              <w:rPr>
                <w:rtl/>
              </w:rPr>
              <w:t xml:space="preserve">المصادر المحتملة</w:t>
            </w:r>
          </w:p>
        </w:tc>
        <w:tc>
          <w:tcPr/>
          <w:p>
            <w:pPr>
              <w:pStyle w:val="Compact"/>
              <w:bidi/>
              <w:jc w:val="left"/>
            </w:pPr>
            <w:r>
              <w:rPr>
                <w:rtl/>
              </w:rPr>
              <w:t xml:space="preserve">84 إلى 171 مليار دولار</w:t>
            </w:r>
          </w:p>
        </w:tc>
      </w:tr>
    </w:tbl>
    <w:bookmarkEnd w:id="57"/>
    <w:bookmarkStart w:id="58" w:name="مصفوفة-التمويل-من-المؤكد-إلى-المشروط"/>
    <w:p>
      <w:pPr>
        <w:pStyle w:val="Heading2"/>
        <w:bidi/>
      </w:pPr>
      <w:r>
        <w:rPr>
          <w:rtl/>
        </w:rPr>
        <w:t xml:space="preserve">مصفوفة التمويل: من المؤكد إلى المشروط</w:t>
      </w:r>
    </w:p>
    <w:tbl>
      <w:tblPr>
        <w:tblStyle w:val="Table"/>
        <w:bidiVisual/>
        <w:tblW w:w="5000" w:type="pct"/>
        <w:jc w:val="start"/>
        <w:tblLook w:val="04A0" w:firstRow="1" w:lastRow="0" w:firstColumn="0" w:lastColumn="0" w:noHBand="0" w:noVBand="1"/>
      </w:tblPr>
      <w:tblGrid>
        <w:gridCol w:w="1584"/>
        <w:gridCol w:w="1584"/>
        <w:gridCol w:w="1584"/>
        <w:gridCol w:w="1584"/>
        <w:gridCol w:w="1584"/>
      </w:tblGrid>
      <w:tr>
        <w:trPr>
          <w:tblHeader w:val="true"/>
        </w:trPr>
        <w:tc>
          <w:tcPr/>
          <w:p>
            <w:pPr>
              <w:pStyle w:val="Compact"/>
              <w:bidi/>
              <w:jc w:val="left"/>
            </w:pPr>
            <w:r>
              <w:rPr>
                <w:rtl/>
              </w:rPr>
              <w:t xml:space="preserve">المصدر</w:t>
            </w:r>
          </w:p>
        </w:tc>
        <w:tc>
          <w:tcPr/>
          <w:p>
            <w:pPr>
              <w:pStyle w:val="Compact"/>
              <w:bidi/>
              <w:jc w:val="left"/>
            </w:pPr>
            <w:r>
              <w:rPr>
                <w:rtl/>
              </w:rPr>
              <w:t xml:space="preserve">مؤكد اليوم</w:t>
            </w:r>
          </w:p>
        </w:tc>
        <w:tc>
          <w:tcPr/>
          <w:p>
            <w:pPr>
              <w:pStyle w:val="Compact"/>
              <w:bidi/>
              <w:jc w:val="left"/>
            </w:pPr>
            <w:r>
              <w:rPr>
                <w:rtl/>
              </w:rPr>
              <w:t xml:space="preserve">متوقع (سنوياً)</w:t>
            </w:r>
          </w:p>
        </w:tc>
        <w:tc>
          <w:tcPr/>
          <w:p>
            <w:pPr>
              <w:pStyle w:val="Compact"/>
              <w:bidi/>
              <w:jc w:val="left"/>
            </w:pPr>
            <w:r>
              <w:rPr>
                <w:rtl/>
              </w:rPr>
              <w:t xml:space="preserve">مستهدف</w:t>
            </w:r>
          </w:p>
        </w:tc>
        <w:tc>
          <w:tcPr/>
          <w:p>
            <w:pPr>
              <w:pStyle w:val="Compact"/>
              <w:bidi/>
              <w:jc w:val="left"/>
            </w:pPr>
            <w:r>
              <w:rPr>
                <w:rtl/>
              </w:rPr>
              <w:t xml:space="preserve">شرط الصرف</w:t>
            </w:r>
          </w:p>
        </w:tc>
      </w:tr>
      <w:tr>
        <w:tc>
          <w:tcPr/>
          <w:p>
            <w:pPr>
              <w:pStyle w:val="Compact"/>
              <w:bidi/>
              <w:jc w:val="left"/>
            </w:pPr>
            <w:r>
              <w:rPr>
                <w:b/>
                <w:bCs/>
                <w:rtl/>
              </w:rPr>
              <w:t xml:space="preserve">المنح</w:t>
            </w:r>
          </w:p>
        </w:tc>
        <w:tc>
          <w:tcPr/>
          <w:p>
            <w:pPr>
              <w:pStyle w:val="Compact"/>
              <w:bidi/>
              <w:jc w:val="left"/>
            </w:pPr>
            <w:r>
              <w:rPr>
                <w:rtl/>
              </w:rPr>
              <w:t xml:space="preserve">لا شيء خارج العمل الإنساني</w:t>
            </w:r>
          </w:p>
        </w:tc>
        <w:tc>
          <w:tcPr/>
          <w:p>
            <w:pPr>
              <w:pStyle w:val="Compact"/>
              <w:bidi/>
              <w:jc w:val="left"/>
            </w:pPr>
            <w:r>
              <w:rPr>
                <w:rtl/>
              </w:rPr>
              <w:t xml:space="preserve">1 إلى 2 مليار دولار</w:t>
            </w:r>
          </w:p>
        </w:tc>
        <w:tc>
          <w:tcPr/>
          <w:p>
            <w:pPr>
              <w:pStyle w:val="Compact"/>
              <w:bidi/>
              <w:jc w:val="left"/>
            </w:pPr>
            <w:r>
              <w:rPr>
                <w:rtl/>
              </w:rPr>
              <w:t xml:space="preserve">2 إلى 3 مليارات</w:t>
            </w:r>
          </w:p>
        </w:tc>
        <w:tc>
          <w:tcPr/>
          <w:p>
            <w:pPr>
              <w:pStyle w:val="Compact"/>
              <w:bidi/>
              <w:jc w:val="left"/>
            </w:pPr>
            <w:r>
              <w:rPr>
                <w:rtl/>
              </w:rPr>
              <w:t xml:space="preserve">حكومة مدنية، وبرنامج إصلاح، وشفافية</w:t>
            </w:r>
          </w:p>
        </w:tc>
      </w:tr>
      <w:tr>
        <w:tc>
          <w:tcPr/>
          <w:p>
            <w:pPr>
              <w:pStyle w:val="Compact"/>
              <w:bidi/>
              <w:jc w:val="left"/>
            </w:pPr>
            <w:r>
              <w:rPr>
                <w:b/>
                <w:bCs/>
                <w:rtl/>
              </w:rPr>
              <w:t xml:space="preserve">التمويل الميسر</w:t>
            </w:r>
          </w:p>
        </w:tc>
        <w:tc>
          <w:tcPr/>
          <w:p>
            <w:pPr>
              <w:pStyle w:val="Compact"/>
              <w:bidi/>
              <w:jc w:val="left"/>
            </w:pPr>
            <w:r>
              <w:rPr>
                <w:rtl/>
              </w:rPr>
              <w:t xml:space="preserve">لا شيء</w:t>
            </w:r>
          </w:p>
        </w:tc>
        <w:tc>
          <w:tcPr/>
          <w:p>
            <w:pPr>
              <w:pStyle w:val="Compact"/>
              <w:bidi/>
              <w:jc w:val="left"/>
            </w:pPr>
            <w:r>
              <w:rPr>
                <w:rtl/>
              </w:rPr>
              <w:t xml:space="preserve">1 إلى 2 مليار دولار</w:t>
            </w:r>
          </w:p>
        </w:tc>
        <w:tc>
          <w:tcPr/>
          <w:p>
            <w:pPr>
              <w:pStyle w:val="Compact"/>
              <w:bidi/>
              <w:jc w:val="left"/>
            </w:pPr>
            <w:r>
              <w:rPr>
                <w:rtl/>
              </w:rPr>
              <w:t xml:space="preserve">2 مليار</w:t>
            </w:r>
          </w:p>
        </w:tc>
        <w:tc>
          <w:tcPr/>
          <w:p>
            <w:pPr>
              <w:pStyle w:val="Compact"/>
              <w:bidi/>
              <w:jc w:val="left"/>
            </w:pPr>
            <w:r>
              <w:rPr>
                <w:rtl/>
              </w:rPr>
              <w:t xml:space="preserve">استئناف العلاقة مع المؤسسات الدولية، ومسار الإعفاء</w:t>
            </w:r>
          </w:p>
        </w:tc>
      </w:tr>
      <w:tr>
        <w:tc>
          <w:tcPr/>
          <w:p>
            <w:pPr>
              <w:pStyle w:val="Compact"/>
              <w:bidi/>
              <w:jc w:val="left"/>
            </w:pPr>
            <w:r>
              <w:rPr>
                <w:b/>
                <w:bCs/>
                <w:rtl/>
              </w:rPr>
              <w:t xml:space="preserve">صندوق إعادة الإعمار</w:t>
            </w:r>
          </w:p>
        </w:tc>
        <w:tc>
          <w:tcPr/>
          <w:p>
            <w:pPr>
              <w:pStyle w:val="Compact"/>
              <w:bidi/>
              <w:jc w:val="left"/>
            </w:pPr>
            <w:r>
              <w:rPr>
                <w:rtl/>
              </w:rPr>
              <w:t xml:space="preserve">لا شيء</w:t>
            </w:r>
          </w:p>
        </w:tc>
        <w:tc>
          <w:tcPr/>
          <w:p>
            <w:pPr>
              <w:pStyle w:val="Compact"/>
              <w:bidi/>
              <w:jc w:val="left"/>
            </w:pPr>
            <w:r>
              <w:rPr>
                <w:rtl/>
              </w:rPr>
              <w:t xml:space="preserve">—</w:t>
            </w:r>
          </w:p>
        </w:tc>
        <w:tc>
          <w:tcPr/>
          <w:p>
            <w:pPr>
              <w:pStyle w:val="Compact"/>
              <w:bidi/>
              <w:jc w:val="left"/>
            </w:pPr>
            <w:r>
              <w:rPr>
                <w:rtl/>
              </w:rPr>
              <w:t xml:space="preserve">10 مليارات دولار في 5 سنوات</w:t>
            </w:r>
          </w:p>
        </w:tc>
        <w:tc>
          <w:tcPr/>
          <w:p>
            <w:pPr>
              <w:pStyle w:val="Compact"/>
              <w:bidi/>
              <w:jc w:val="left"/>
            </w:pPr>
            <w:r>
              <w:rPr>
                <w:rtl/>
              </w:rPr>
              <w:t xml:space="preserve">السلام، والحوكمة المستقلة للصندوق</w:t>
            </w:r>
          </w:p>
        </w:tc>
      </w:tr>
      <w:tr>
        <w:tc>
          <w:tcPr/>
          <w:p>
            <w:pPr>
              <w:pStyle w:val="Compact"/>
              <w:bidi/>
              <w:jc w:val="left"/>
            </w:pPr>
            <w:r>
              <w:rPr>
                <w:b/>
                <w:bCs/>
                <w:rtl/>
              </w:rPr>
              <w:t xml:space="preserve">الاستثمار الخاص والأجنبي</w:t>
            </w:r>
          </w:p>
        </w:tc>
        <w:tc>
          <w:tcPr/>
          <w:p>
            <w:pPr>
              <w:pStyle w:val="Compact"/>
              <w:bidi/>
              <w:jc w:val="left"/>
            </w:pPr>
            <w:r>
              <w:rPr>
                <w:rtl/>
              </w:rPr>
              <w:t xml:space="preserve">محدود جداً</w:t>
            </w:r>
          </w:p>
        </w:tc>
        <w:tc>
          <w:tcPr/>
          <w:p>
            <w:pPr>
              <w:pStyle w:val="Compact"/>
              <w:bidi/>
              <w:jc w:val="left"/>
            </w:pPr>
            <w:r>
              <w:rPr>
                <w:rtl/>
              </w:rPr>
              <w:t xml:space="preserve">يتوقف على الأمن</w:t>
            </w:r>
          </w:p>
        </w:tc>
        <w:tc>
          <w:tcPr/>
          <w:p>
            <w:pPr>
              <w:pStyle w:val="Compact"/>
              <w:bidi/>
              <w:jc w:val="left"/>
            </w:pPr>
            <w:r>
              <w:rPr>
                <w:rtl/>
              </w:rPr>
              <w:t xml:space="preserve">يرتفع تدريجياً</w:t>
            </w:r>
          </w:p>
        </w:tc>
        <w:tc>
          <w:tcPr/>
          <w:p>
            <w:pPr>
              <w:pStyle w:val="Compact"/>
              <w:bidi/>
              <w:jc w:val="left"/>
            </w:pPr>
            <w:r>
              <w:rPr>
                <w:rtl/>
              </w:rPr>
              <w:t xml:space="preserve">الأمن، والإطار الاستثماري، وسعر الصرف</w:t>
            </w:r>
          </w:p>
        </w:tc>
      </w:tr>
      <w:tr>
        <w:tc>
          <w:tcPr/>
          <w:p>
            <w:pPr>
              <w:pStyle w:val="Compact"/>
              <w:bidi/>
              <w:jc w:val="left"/>
            </w:pPr>
            <w:r>
              <w:rPr>
                <w:b/>
                <w:bCs/>
                <w:rtl/>
              </w:rPr>
              <w:t xml:space="preserve">إعفاء الديون</w:t>
            </w:r>
          </w:p>
        </w:tc>
        <w:tc>
          <w:tcPr/>
          <w:p>
            <w:pPr>
              <w:pStyle w:val="Compact"/>
              <w:bidi/>
              <w:jc w:val="left"/>
            </w:pPr>
            <w:r>
              <w:rPr>
                <w:rtl/>
              </w:rPr>
              <w:t xml:space="preserve">لا شيء</w:t>
            </w:r>
          </w:p>
        </w:tc>
        <w:tc>
          <w:tcPr/>
          <w:p>
            <w:pPr>
              <w:pStyle w:val="Compact"/>
              <w:bidi/>
              <w:jc w:val="left"/>
            </w:pPr>
            <w:r>
              <w:rPr>
                <w:rtl/>
              </w:rPr>
              <w:t xml:space="preserve">—</w:t>
            </w:r>
          </w:p>
        </w:tc>
        <w:tc>
          <w:tcPr/>
          <w:p>
            <w:pPr>
              <w:pStyle w:val="Compact"/>
              <w:bidi/>
              <w:jc w:val="left"/>
            </w:pPr>
            <w:r>
              <w:rPr>
                <w:rtl/>
              </w:rPr>
              <w:t xml:space="preserve">إعفاء الجزء الأكبر من الدين الخارجي</w:t>
            </w:r>
          </w:p>
        </w:tc>
        <w:tc>
          <w:tcPr/>
          <w:p>
            <w:pPr>
              <w:pStyle w:val="Compact"/>
              <w:bidi/>
              <w:jc w:val="left"/>
            </w:pPr>
            <w:r>
              <w:rPr>
                <w:rtl/>
              </w:rPr>
              <w:t xml:space="preserve">بلوغ نقطة الإنجاز في المبادرة</w:t>
            </w:r>
          </w:p>
        </w:tc>
      </w:tr>
      <w:tr>
        <w:tc>
          <w:tcPr/>
          <w:p>
            <w:pPr>
              <w:pStyle w:val="Compact"/>
              <w:bidi/>
              <w:jc w:val="left"/>
            </w:pPr>
            <w:r>
              <w:rPr>
                <w:b/>
                <w:bCs/>
                <w:rtl/>
              </w:rPr>
              <w:t xml:space="preserve">الشراكة بين القطاعين</w:t>
            </w:r>
          </w:p>
        </w:tc>
        <w:tc>
          <w:tcPr/>
          <w:p>
            <w:pPr>
              <w:pStyle w:val="Compact"/>
              <w:bidi/>
              <w:jc w:val="left"/>
            </w:pPr>
            <w:r>
              <w:rPr>
                <w:rtl/>
              </w:rPr>
              <w:t xml:space="preserve">لا شيء</w:t>
            </w:r>
          </w:p>
        </w:tc>
        <w:tc>
          <w:tcPr/>
          <w:p>
            <w:pPr>
              <w:pStyle w:val="Compact"/>
              <w:bidi/>
              <w:jc w:val="left"/>
            </w:pPr>
            <w:r>
              <w:rPr>
                <w:rtl/>
              </w:rPr>
              <w:t xml:space="preserve">—</w:t>
            </w:r>
          </w:p>
        </w:tc>
        <w:tc>
          <w:tcPr/>
          <w:p>
            <w:pPr>
              <w:pStyle w:val="Compact"/>
              <w:bidi/>
              <w:jc w:val="left"/>
            </w:pPr>
            <w:r>
              <w:rPr>
                <w:rtl/>
              </w:rPr>
              <w:t xml:space="preserve">مشاريع طاقة ونقل</w:t>
            </w:r>
          </w:p>
        </w:tc>
        <w:tc>
          <w:tcPr/>
          <w:p>
            <w:pPr>
              <w:pStyle w:val="Compact"/>
              <w:bidi/>
              <w:jc w:val="left"/>
            </w:pPr>
            <w:r>
              <w:rPr>
                <w:rtl/>
              </w:rPr>
              <w:t xml:space="preserve">قانون الشراكة، وعقود منشورة</w:t>
            </w:r>
          </w:p>
        </w:tc>
      </w:tr>
      <w:tr>
        <w:tc>
          <w:tcPr/>
          <w:p>
            <w:pPr>
              <w:pStyle w:val="Compact"/>
              <w:bidi/>
              <w:jc w:val="left"/>
            </w:pPr>
            <w:r>
              <w:rPr>
                <w:b/>
                <w:bCs/>
                <w:rtl/>
              </w:rPr>
              <w:t xml:space="preserve">الدمج والتسريح</w:t>
            </w:r>
          </w:p>
        </w:tc>
        <w:tc>
          <w:tcPr/>
          <w:p>
            <w:pPr>
              <w:pStyle w:val="Compact"/>
              <w:bidi/>
              <w:jc w:val="left"/>
            </w:pPr>
            <w:r>
              <w:rPr>
                <w:rtl/>
              </w:rPr>
              <w:t xml:space="preserve">لا شيء</w:t>
            </w:r>
          </w:p>
        </w:tc>
        <w:tc>
          <w:tcPr/>
          <w:p>
            <w:pPr>
              <w:pStyle w:val="Compact"/>
              <w:bidi/>
              <w:jc w:val="left"/>
            </w:pPr>
            <w:r>
              <w:rPr>
                <w:rtl/>
              </w:rPr>
              <w:t xml:space="preserve">0.8 إلى 1.2 مليار دولار للمرحلة الأولى</w:t>
            </w:r>
          </w:p>
        </w:tc>
        <w:tc>
          <w:tcPr/>
          <w:p>
            <w:pPr>
              <w:pStyle w:val="Compact"/>
              <w:bidi/>
              <w:jc w:val="left"/>
            </w:pPr>
            <w:r>
              <w:rPr>
                <w:rtl/>
              </w:rPr>
              <w:t xml:space="preserve">نحو 90% من الشركاء</w:t>
            </w:r>
          </w:p>
        </w:tc>
        <w:tc>
          <w:tcPr/>
          <w:p>
            <w:pPr>
              <w:pStyle w:val="Compact"/>
              <w:bidi/>
              <w:jc w:val="left"/>
            </w:pPr>
            <w:r>
              <w:rPr>
                <w:rtl/>
              </w:rPr>
              <w:t xml:space="preserve">الاتفاق الأمني وخطة البرنامج</w:t>
            </w:r>
          </w:p>
        </w:tc>
      </w:tr>
    </w:tbl>
    <w:p>
      <w:pPr>
        <w:pStyle w:val="BodyText"/>
        <w:bidi/>
      </w:pPr>
      <w:r>
        <w:rPr>
          <w:b/>
          <w:bCs/>
          <w:rtl/>
        </w:rPr>
        <w:t xml:space="preserve">والقراءة الصريحة لهذا الجدول:</w:t>
      </w:r>
      <w:r>
        <w:rPr>
          <w:rtl/>
        </w:rPr>
        <w:t xml:space="preserve"> </w:t>
      </w:r>
      <w:r>
        <w:rPr>
          <w:rtl/>
        </w:rPr>
        <w:t xml:space="preserve">لا يوجد اليوم أي تمويل مؤكد خارج العمل الإنساني. فكل التمويل الخارجي</w:t>
      </w:r>
      <w:r>
        <w:rPr>
          <w:rtl/>
        </w:rPr>
        <w:t xml:space="preserve"> </w:t>
      </w:r>
      <w:r>
        <w:rPr>
          <w:b/>
          <w:bCs/>
          <w:rtl/>
        </w:rPr>
        <w:t xml:space="preserve">مشروط بالسلام والحكم المدني</w:t>
      </w:r>
      <w:r>
        <w:rPr>
          <w:rtl/>
        </w:rPr>
        <w:t xml:space="preserve">. ولذلك فإن السلام هو الشرط الحاكم لتحرير الموارد وعودة الاستثمار والتمويل الخارجي والإنتاج.</w:t>
      </w:r>
    </w:p>
    <w:p>
      <w:pPr>
        <w:pStyle w:val="BodyText"/>
        <w:bidi/>
      </w:pPr>
      <w:r>
        <w:rPr>
          <w:b/>
          <w:bCs/>
          <w:rtl/>
        </w:rPr>
        <w:t xml:space="preserve">وقاعدة الأولويات عند شح الموارد:</w:t>
      </w:r>
      <w:r>
        <w:rPr>
          <w:rtl/>
        </w:rPr>
        <w:t xml:space="preserve"> </w:t>
      </w:r>
      <w:r>
        <w:rPr>
          <w:rtl/>
        </w:rPr>
        <w:t xml:space="preserve">منع المجاعة والصحة العاجلة أولاً، ثم رواتب المعلمين والأطباء، ثم مدخلات الزراعة، ثم الإعمار العاجل، ثم بقية البرامج.</w:t>
      </w:r>
    </w:p>
    <w:p>
      <w:pPr>
        <w:bidi/>
      </w:pPr>
      <w:r>
        <w:rPr>
          <w:rtl/>
        </w:rPr>
        <w:br w:type="page"/>
      </w:r>
    </w:p>
    <w:bookmarkEnd w:id="58"/>
    <w:bookmarkEnd w:id="59"/>
    <w:bookmarkStart w:id="60" w:name="خامس-عشر-المخاطر"/>
    <w:p>
      <w:pPr>
        <w:pStyle w:val="Heading1"/>
        <w:bidi/>
      </w:pPr>
      <w:r>
        <w:rPr>
          <w:rtl/>
        </w:rPr>
        <w:t xml:space="preserve">خامس عشر: المخاطر</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الخطر</w:t>
            </w:r>
          </w:p>
        </w:tc>
        <w:tc>
          <w:tcPr/>
          <w:p>
            <w:pPr>
              <w:pStyle w:val="Compact"/>
              <w:bidi/>
              <w:jc w:val="left"/>
            </w:pPr>
            <w:r>
              <w:rPr>
                <w:rtl/>
              </w:rPr>
              <w:t xml:space="preserve">أثره على الإطار الاقتصادي</w:t>
            </w:r>
          </w:p>
        </w:tc>
        <w:tc>
          <w:tcPr/>
          <w:p>
            <w:pPr>
              <w:pStyle w:val="Compact"/>
              <w:bidi/>
              <w:jc w:val="left"/>
            </w:pPr>
            <w:r>
              <w:rPr>
                <w:rtl/>
              </w:rPr>
              <w:t xml:space="preserve">الاستجابة</w:t>
            </w:r>
          </w:p>
        </w:tc>
      </w:tr>
      <w:tr>
        <w:tc>
          <w:tcPr/>
          <w:p>
            <w:pPr>
              <w:pStyle w:val="Compact"/>
              <w:bidi/>
              <w:jc w:val="left"/>
            </w:pPr>
            <w:r>
              <w:rPr>
                <w:b/>
                <w:bCs/>
                <w:rtl/>
              </w:rPr>
              <w:t xml:space="preserve">استمرار الحرب</w:t>
            </w:r>
          </w:p>
        </w:tc>
        <w:tc>
          <w:tcPr/>
          <w:p>
            <w:pPr>
              <w:pStyle w:val="Compact"/>
              <w:bidi/>
              <w:jc w:val="left"/>
            </w:pPr>
            <w:r>
              <w:rPr>
                <w:rtl/>
              </w:rPr>
              <w:t xml:space="preserve">انهيار كل السيناريوهات</w:t>
            </w:r>
          </w:p>
        </w:tc>
        <w:tc>
          <w:tcPr/>
          <w:p>
            <w:pPr>
              <w:pStyle w:val="Compact"/>
              <w:bidi/>
              <w:jc w:val="left"/>
            </w:pPr>
            <w:r>
              <w:rPr>
                <w:rtl/>
              </w:rPr>
              <w:t xml:space="preserve">أولوية للإغاثة وحماية المناطق الآمنة</w:t>
            </w:r>
          </w:p>
        </w:tc>
      </w:tr>
      <w:tr>
        <w:tc>
          <w:tcPr/>
          <w:p>
            <w:pPr>
              <w:pStyle w:val="Compact"/>
              <w:bidi/>
              <w:jc w:val="left"/>
            </w:pPr>
            <w:r>
              <w:rPr>
                <w:b/>
                <w:bCs/>
                <w:rtl/>
              </w:rPr>
              <w:t xml:space="preserve">انخفاض أسعار الذهب</w:t>
            </w:r>
          </w:p>
        </w:tc>
        <w:tc>
          <w:tcPr/>
          <w:p>
            <w:pPr>
              <w:pStyle w:val="Compact"/>
              <w:bidi/>
              <w:jc w:val="left"/>
            </w:pPr>
            <w:r>
              <w:rPr>
                <w:rtl/>
              </w:rPr>
              <w:t xml:space="preserve">تراجع النقد الأجنبي والإتاوات</w:t>
            </w:r>
          </w:p>
        </w:tc>
        <w:tc>
          <w:tcPr/>
          <w:p>
            <w:pPr>
              <w:pStyle w:val="Compact"/>
              <w:bidi/>
              <w:jc w:val="left"/>
            </w:pPr>
            <w:r>
              <w:rPr>
                <w:rtl/>
              </w:rPr>
              <w:t xml:space="preserve">تنويع الصادرات، وتسريع الزراعة والثروة الحيوانية</w:t>
            </w:r>
          </w:p>
        </w:tc>
      </w:tr>
      <w:tr>
        <w:tc>
          <w:tcPr/>
          <w:p>
            <w:pPr>
              <w:pStyle w:val="Compact"/>
              <w:bidi/>
              <w:jc w:val="left"/>
            </w:pPr>
            <w:r>
              <w:rPr>
                <w:b/>
                <w:bCs/>
                <w:rtl/>
              </w:rPr>
              <w:t xml:space="preserve">تأخر التمويل الخارجي</w:t>
            </w:r>
          </w:p>
        </w:tc>
        <w:tc>
          <w:tcPr/>
          <w:p>
            <w:pPr>
              <w:pStyle w:val="Compact"/>
              <w:bidi/>
              <w:jc w:val="left"/>
            </w:pPr>
            <w:r>
              <w:rPr>
                <w:rtl/>
              </w:rPr>
              <w:t xml:space="preserve">عجز في الإعمار وبرامج الدمج</w:t>
            </w:r>
          </w:p>
        </w:tc>
        <w:tc>
          <w:tcPr/>
          <w:p>
            <w:pPr>
              <w:pStyle w:val="Compact"/>
              <w:bidi/>
              <w:jc w:val="left"/>
            </w:pPr>
            <w:r>
              <w:rPr>
                <w:rtl/>
              </w:rPr>
              <w:t xml:space="preserve">إطالة أفق البرامج، وتوسيع الشراكة مع القطاع الخاص</w:t>
            </w:r>
          </w:p>
        </w:tc>
      </w:tr>
      <w:tr>
        <w:tc>
          <w:tcPr/>
          <w:p>
            <w:pPr>
              <w:pStyle w:val="Compact"/>
              <w:bidi/>
              <w:jc w:val="left"/>
            </w:pPr>
            <w:r>
              <w:rPr>
                <w:b/>
                <w:bCs/>
                <w:rtl/>
              </w:rPr>
              <w:t xml:space="preserve">تأخر رفع الإيرادات</w:t>
            </w:r>
          </w:p>
        </w:tc>
        <w:tc>
          <w:tcPr/>
          <w:p>
            <w:pPr>
              <w:pStyle w:val="Compact"/>
              <w:bidi/>
              <w:jc w:val="left"/>
            </w:pPr>
            <w:r>
              <w:rPr>
                <w:rtl/>
              </w:rPr>
              <w:t xml:space="preserve">اختناق الموازنة بين الدفاع والرواتب</w:t>
            </w:r>
          </w:p>
        </w:tc>
        <w:tc>
          <w:tcPr/>
          <w:p>
            <w:pPr>
              <w:pStyle w:val="Compact"/>
              <w:bidi/>
              <w:jc w:val="left"/>
            </w:pPr>
            <w:r>
              <w:rPr>
                <w:rtl/>
              </w:rPr>
              <w:t xml:space="preserve">مراجعة نصف سنوية، وإجراءات إيرادية عاجلة</w:t>
            </w:r>
          </w:p>
        </w:tc>
      </w:tr>
      <w:tr>
        <w:tc>
          <w:tcPr/>
          <w:p>
            <w:pPr>
              <w:pStyle w:val="Compact"/>
              <w:bidi/>
              <w:jc w:val="left"/>
            </w:pPr>
            <w:r>
              <w:rPr>
                <w:b/>
                <w:bCs/>
                <w:rtl/>
              </w:rPr>
              <w:t xml:space="preserve">تضخم جامح بعد توحيد الصرف</w:t>
            </w:r>
          </w:p>
        </w:tc>
        <w:tc>
          <w:tcPr/>
          <w:p>
            <w:pPr>
              <w:pStyle w:val="Compact"/>
              <w:bidi/>
              <w:jc w:val="left"/>
            </w:pPr>
            <w:r>
              <w:rPr>
                <w:rtl/>
              </w:rPr>
              <w:t xml:space="preserve">تآكل الدخول وتوتر اجتماعي</w:t>
            </w:r>
          </w:p>
        </w:tc>
        <w:tc>
          <w:tcPr/>
          <w:p>
            <w:pPr>
              <w:pStyle w:val="Compact"/>
              <w:bidi/>
              <w:jc w:val="left"/>
            </w:pPr>
            <w:r>
              <w:rPr>
                <w:rtl/>
              </w:rPr>
              <w:t xml:space="preserve">توقيت التوحيد بعد بناء الاحتياطي وتشغيل التحويلات النقدية</w:t>
            </w:r>
          </w:p>
        </w:tc>
      </w:tr>
      <w:tr>
        <w:tc>
          <w:tcPr/>
          <w:p>
            <w:pPr>
              <w:pStyle w:val="Compact"/>
              <w:bidi/>
              <w:jc w:val="left"/>
            </w:pPr>
            <w:r>
              <w:rPr>
                <w:b/>
                <w:bCs/>
                <w:rtl/>
              </w:rPr>
              <w:t xml:space="preserve">انهيار بنوك إضافية</w:t>
            </w:r>
          </w:p>
        </w:tc>
        <w:tc>
          <w:tcPr/>
          <w:p>
            <w:pPr>
              <w:pStyle w:val="Compact"/>
              <w:bidi/>
              <w:jc w:val="left"/>
            </w:pPr>
            <w:r>
              <w:rPr>
                <w:rtl/>
              </w:rPr>
              <w:t xml:space="preserve">فقدان الثقة، وعودة النقد خارج البنوك</w:t>
            </w:r>
          </w:p>
        </w:tc>
        <w:tc>
          <w:tcPr/>
          <w:p>
            <w:pPr>
              <w:pStyle w:val="Compact"/>
              <w:bidi/>
              <w:jc w:val="left"/>
            </w:pPr>
            <w:r>
              <w:rPr>
                <w:rtl/>
              </w:rPr>
              <w:t xml:space="preserve">إعادة الهيكلة المنظمة، وحماية المودعين الصغار</w:t>
            </w:r>
          </w:p>
        </w:tc>
      </w:tr>
      <w:tr>
        <w:tc>
          <w:tcPr/>
          <w:p>
            <w:pPr>
              <w:pStyle w:val="Compact"/>
              <w:bidi/>
              <w:jc w:val="left"/>
            </w:pPr>
            <w:r>
              <w:rPr>
                <w:b/>
                <w:bCs/>
                <w:rtl/>
              </w:rPr>
              <w:t xml:space="preserve">مقاومة شبكات المصالح</w:t>
            </w:r>
          </w:p>
        </w:tc>
        <w:tc>
          <w:tcPr/>
          <w:p>
            <w:pPr>
              <w:pStyle w:val="Compact"/>
              <w:bidi/>
              <w:jc w:val="left"/>
            </w:pPr>
            <w:r>
              <w:rPr>
                <w:rtl/>
              </w:rPr>
              <w:t xml:space="preserve">تعطيل نقل الشركات وإدخال الذهب</w:t>
            </w:r>
          </w:p>
        </w:tc>
        <w:tc>
          <w:tcPr/>
          <w:p>
            <w:pPr>
              <w:pStyle w:val="Compact"/>
              <w:bidi/>
              <w:jc w:val="left"/>
            </w:pPr>
            <w:r>
              <w:rPr>
                <w:rtl/>
              </w:rPr>
              <w:t xml:space="preserve">الشفافية، والمكتب المركزي لمكافحة الفساد، والدعم الشعبي والدولي</w:t>
            </w:r>
          </w:p>
        </w:tc>
      </w:tr>
    </w:tbl>
    <w:p>
      <w:pPr>
        <w:bidi/>
      </w:pPr>
      <w:r>
        <w:rPr>
          <w:rtl/>
        </w:rPr>
        <w:br w:type="page"/>
      </w:r>
    </w:p>
    <w:bookmarkEnd w:id="60"/>
    <w:bookmarkStart w:id="61" w:name="سادس-عشر-مؤشرات-المتابعة"/>
    <w:p>
      <w:pPr>
        <w:pStyle w:val="Heading1"/>
        <w:bidi/>
      </w:pPr>
      <w:r>
        <w:rPr>
          <w:rtl/>
        </w:rPr>
        <w:t xml:space="preserve">سادس عشر: مؤشرات المتابعة</w:t>
      </w:r>
    </w:p>
    <w:tbl>
      <w:tblPr>
        <w:tblStyle w:val="Table"/>
        <w:bidiVisual/>
        <w:tblW w:w="5000" w:type="pct"/>
        <w:jc w:val="start"/>
        <w:tblLook w:val="04A0" w:firstRow="1" w:lastRow="0" w:firstColumn="0" w:lastColumn="0" w:noHBand="0" w:noVBand="1"/>
      </w:tblPr>
      <w:tblGrid>
        <w:gridCol w:w="1584"/>
        <w:gridCol w:w="1584"/>
        <w:gridCol w:w="1584"/>
        <w:gridCol w:w="1584"/>
        <w:gridCol w:w="1584"/>
      </w:tblGrid>
      <w:tr>
        <w:trPr>
          <w:tblHeader w:val="true"/>
        </w:trPr>
        <w:tc>
          <w:tcPr/>
          <w:p>
            <w:pPr>
              <w:pStyle w:val="Compact"/>
              <w:bidi/>
              <w:jc w:val="left"/>
            </w:pPr>
            <w:r>
              <w:rPr>
                <w:rtl/>
              </w:rPr>
              <w:t xml:space="preserve">المؤشر</w:t>
            </w:r>
          </w:p>
        </w:tc>
        <w:tc>
          <w:tcPr/>
          <w:p>
            <w:pPr>
              <w:pStyle w:val="Compact"/>
              <w:bidi/>
              <w:jc w:val="left"/>
            </w:pPr>
            <w:r>
              <w:rPr>
                <w:rtl/>
              </w:rPr>
              <w:t xml:space="preserve">خط الأساس</w:t>
            </w:r>
          </w:p>
        </w:tc>
        <w:tc>
          <w:tcPr/>
          <w:p>
            <w:pPr>
              <w:pStyle w:val="Compact"/>
              <w:bidi/>
              <w:jc w:val="left"/>
            </w:pPr>
            <w:r>
              <w:rPr>
                <w:rtl/>
              </w:rPr>
              <w:t xml:space="preserve">الشهر 36</w:t>
            </w:r>
          </w:p>
        </w:tc>
        <w:tc>
          <w:tcPr/>
          <w:p>
            <w:pPr>
              <w:pStyle w:val="Compact"/>
              <w:bidi/>
              <w:jc w:val="left"/>
            </w:pPr>
            <w:r>
              <w:rPr>
                <w:rtl/>
              </w:rPr>
              <w:t xml:space="preserve">الشهر 60</w:t>
            </w:r>
          </w:p>
        </w:tc>
        <w:tc>
          <w:tcPr/>
          <w:p>
            <w:pPr>
              <w:pStyle w:val="Compact"/>
              <w:bidi/>
              <w:jc w:val="left"/>
            </w:pPr>
            <w:r>
              <w:rPr>
                <w:rtl/>
              </w:rPr>
              <w:t xml:space="preserve">الشهر 96</w:t>
            </w:r>
          </w:p>
        </w:tc>
      </w:tr>
      <w:tr>
        <w:tc>
          <w:tcPr/>
          <w:p>
            <w:pPr>
              <w:pStyle w:val="Compact"/>
              <w:bidi/>
              <w:jc w:val="left"/>
            </w:pPr>
            <w:r>
              <w:rPr>
                <w:rtl/>
              </w:rPr>
              <w:t xml:space="preserve">الناتج الحقيقي كنسبة من مستوى 2022 (المعتدل)</w:t>
            </w:r>
          </w:p>
        </w:tc>
        <w:tc>
          <w:tcPr/>
          <w:p>
            <w:pPr>
              <w:pStyle w:val="Compact"/>
              <w:bidi/>
              <w:jc w:val="left"/>
            </w:pPr>
            <w:r>
              <w:rPr>
                <w:rtl/>
              </w:rPr>
              <w:t xml:space="preserve">نحو 63% (2025)</w:t>
            </w:r>
          </w:p>
        </w:tc>
        <w:tc>
          <w:tcPr/>
          <w:p>
            <w:pPr>
              <w:pStyle w:val="Compact"/>
              <w:bidi/>
              <w:jc w:val="left"/>
            </w:pPr>
            <w:r>
              <w:rPr>
                <w:rtl/>
              </w:rPr>
              <w:t xml:space="preserve">نحو 79%</w:t>
            </w:r>
          </w:p>
        </w:tc>
        <w:tc>
          <w:tcPr/>
          <w:p>
            <w:pPr>
              <w:pStyle w:val="Compact"/>
              <w:bidi/>
              <w:jc w:val="left"/>
            </w:pPr>
            <w:r>
              <w:rPr>
                <w:rtl/>
              </w:rPr>
              <w:t xml:space="preserve">نحو 88%</w:t>
            </w:r>
          </w:p>
        </w:tc>
        <w:tc>
          <w:tcPr/>
          <w:p>
            <w:pPr>
              <w:pStyle w:val="Compact"/>
              <w:bidi/>
              <w:jc w:val="left"/>
            </w:pPr>
            <w:r>
              <w:rPr>
                <w:rtl/>
              </w:rPr>
              <w:t xml:space="preserve">نحو 105%</w:t>
            </w:r>
          </w:p>
        </w:tc>
      </w:tr>
      <w:tr>
        <w:tc>
          <w:tcPr/>
          <w:p>
            <w:pPr>
              <w:pStyle w:val="Compact"/>
              <w:bidi/>
              <w:jc w:val="left"/>
            </w:pPr>
            <w:r>
              <w:rPr>
                <w:rtl/>
              </w:rPr>
              <w:t xml:space="preserve">نصيب الفرد من الناتج (المعتدل، دولار)</w:t>
            </w:r>
          </w:p>
        </w:tc>
        <w:tc>
          <w:tcPr/>
          <w:p>
            <w:pPr>
              <w:pStyle w:val="Compact"/>
              <w:bidi/>
              <w:jc w:val="left"/>
            </w:pPr>
            <w:r>
              <w:rPr>
                <w:rtl/>
              </w:rPr>
              <w:t xml:space="preserve">نحو 1,164</w:t>
            </w:r>
          </w:p>
        </w:tc>
        <w:tc>
          <w:tcPr/>
          <w:p>
            <w:pPr>
              <w:pStyle w:val="Compact"/>
              <w:bidi/>
              <w:jc w:val="left"/>
            </w:pPr>
            <w:r>
              <w:rPr>
                <w:rtl/>
              </w:rPr>
              <w:t xml:space="preserve">نحو 1,320</w:t>
            </w:r>
          </w:p>
        </w:tc>
        <w:tc>
          <w:tcPr/>
          <w:p>
            <w:pPr>
              <w:pStyle w:val="Compact"/>
              <w:bidi/>
              <w:jc w:val="left"/>
            </w:pPr>
            <w:r>
              <w:rPr>
                <w:rtl/>
              </w:rPr>
              <w:t xml:space="preserve">نحو 1,410</w:t>
            </w:r>
          </w:p>
        </w:tc>
        <w:tc>
          <w:tcPr/>
          <w:p>
            <w:pPr>
              <w:pStyle w:val="Compact"/>
              <w:bidi/>
              <w:jc w:val="left"/>
            </w:pPr>
            <w:r>
              <w:rPr>
                <w:rtl/>
              </w:rPr>
              <w:t xml:space="preserve">نحو 1,550</w:t>
            </w:r>
          </w:p>
        </w:tc>
      </w:tr>
      <w:tr>
        <w:tc>
          <w:tcPr/>
          <w:p>
            <w:pPr>
              <w:pStyle w:val="Compact"/>
              <w:bidi/>
              <w:jc w:val="left"/>
            </w:pPr>
            <w:r>
              <w:rPr>
                <w:rtl/>
              </w:rPr>
              <w:t xml:space="preserve">الإيرادات العامة من الناتج</w:t>
            </w:r>
          </w:p>
        </w:tc>
        <w:tc>
          <w:tcPr/>
          <w:p>
            <w:pPr>
              <w:pStyle w:val="Compact"/>
              <w:bidi/>
              <w:jc w:val="left"/>
            </w:pPr>
            <w:r>
              <w:rPr>
                <w:rtl/>
              </w:rPr>
              <w:t xml:space="preserve">4.2%</w:t>
            </w:r>
          </w:p>
        </w:tc>
        <w:tc>
          <w:tcPr/>
          <w:p>
            <w:pPr>
              <w:pStyle w:val="Compact"/>
              <w:bidi/>
              <w:jc w:val="left"/>
            </w:pPr>
            <w:r>
              <w:rPr>
                <w:rtl/>
              </w:rPr>
              <w:t xml:space="preserve">9.5%</w:t>
            </w:r>
          </w:p>
        </w:tc>
        <w:tc>
          <w:tcPr/>
          <w:p>
            <w:pPr>
              <w:pStyle w:val="Compact"/>
              <w:bidi/>
              <w:jc w:val="left"/>
            </w:pPr>
            <w:r>
              <w:rPr>
                <w:rtl/>
              </w:rPr>
              <w:t xml:space="preserve">12%</w:t>
            </w:r>
          </w:p>
        </w:tc>
        <w:tc>
          <w:tcPr/>
          <w:p>
            <w:pPr>
              <w:pStyle w:val="Compact"/>
              <w:bidi/>
              <w:jc w:val="left"/>
            </w:pPr>
            <w:r>
              <w:rPr>
                <w:rtl/>
              </w:rPr>
              <w:t xml:space="preserve">15%</w:t>
            </w:r>
          </w:p>
        </w:tc>
      </w:tr>
      <w:tr>
        <w:tc>
          <w:tcPr/>
          <w:p>
            <w:pPr>
              <w:pStyle w:val="Compact"/>
              <w:bidi/>
              <w:jc w:val="left"/>
            </w:pPr>
            <w:r>
              <w:rPr>
                <w:rtl/>
              </w:rPr>
              <w:t xml:space="preserve">التضخم (هدف مشروط)</w:t>
            </w:r>
          </w:p>
        </w:tc>
        <w:tc>
          <w:tcPr/>
          <w:p>
            <w:pPr>
              <w:pStyle w:val="Compact"/>
              <w:bidi/>
              <w:jc w:val="left"/>
            </w:pPr>
            <w:r>
              <w:rPr>
                <w:rtl/>
              </w:rPr>
              <w:t xml:space="preserve">111.5%</w:t>
            </w:r>
          </w:p>
        </w:tc>
        <w:tc>
          <w:tcPr/>
          <w:p>
            <w:pPr>
              <w:pStyle w:val="Compact"/>
              <w:bidi/>
              <w:jc w:val="left"/>
            </w:pPr>
            <w:r>
              <w:rPr>
                <w:rtl/>
              </w:rPr>
              <w:t xml:space="preserve">دون 30%</w:t>
            </w:r>
          </w:p>
        </w:tc>
        <w:tc>
          <w:tcPr/>
          <w:p>
            <w:pPr>
              <w:pStyle w:val="Compact"/>
              <w:bidi/>
              <w:jc w:val="left"/>
            </w:pPr>
            <w:r>
              <w:rPr>
                <w:rtl/>
              </w:rPr>
              <w:t xml:space="preserve">دون 15%</w:t>
            </w:r>
          </w:p>
        </w:tc>
        <w:tc>
          <w:tcPr/>
          <w:p>
            <w:pPr>
              <w:pStyle w:val="Compact"/>
              <w:bidi/>
              <w:jc w:val="left"/>
            </w:pPr>
            <w:r>
              <w:rPr>
                <w:rtl/>
              </w:rPr>
              <w:t xml:space="preserve">أحادي الرقم</w:t>
            </w:r>
          </w:p>
        </w:tc>
      </w:tr>
      <w:tr>
        <w:tc>
          <w:tcPr/>
          <w:p>
            <w:pPr>
              <w:pStyle w:val="Compact"/>
              <w:bidi/>
              <w:jc w:val="left"/>
            </w:pPr>
            <w:r>
              <w:rPr>
                <w:rtl/>
              </w:rPr>
              <w:t xml:space="preserve">الفقر المدقع</w:t>
            </w:r>
          </w:p>
        </w:tc>
        <w:tc>
          <w:tcPr/>
          <w:p>
            <w:pPr>
              <w:pStyle w:val="Compact"/>
              <w:bidi/>
              <w:jc w:val="left"/>
            </w:pPr>
            <w:r>
              <w:rPr>
                <w:rtl/>
              </w:rPr>
              <w:t xml:space="preserve">نحو 59%</w:t>
            </w:r>
          </w:p>
        </w:tc>
        <w:tc>
          <w:tcPr/>
          <w:p>
            <w:pPr>
              <w:pStyle w:val="Compact"/>
              <w:bidi/>
              <w:jc w:val="left"/>
            </w:pPr>
            <w:r>
              <w:rPr>
                <w:rtl/>
              </w:rPr>
              <w:t xml:space="preserve">55%</w:t>
            </w:r>
          </w:p>
        </w:tc>
        <w:tc>
          <w:tcPr/>
          <w:p>
            <w:pPr>
              <w:pStyle w:val="Compact"/>
              <w:bidi/>
              <w:jc w:val="left"/>
            </w:pPr>
            <w:r>
              <w:rPr>
                <w:rtl/>
              </w:rPr>
              <w:t xml:space="preserve">40%</w:t>
            </w:r>
          </w:p>
        </w:tc>
        <w:tc>
          <w:tcPr/>
          <w:p>
            <w:pPr>
              <w:pStyle w:val="Compact"/>
              <w:bidi/>
              <w:jc w:val="left"/>
            </w:pPr>
            <w:r>
              <w:rPr>
                <w:rtl/>
              </w:rPr>
              <w:t xml:space="preserve">دون 25%</w:t>
            </w:r>
          </w:p>
        </w:tc>
      </w:tr>
      <w:tr>
        <w:tc>
          <w:tcPr/>
          <w:p>
            <w:pPr>
              <w:pStyle w:val="Compact"/>
              <w:bidi/>
              <w:jc w:val="left"/>
            </w:pPr>
            <w:r>
              <w:rPr>
                <w:rtl/>
              </w:rPr>
              <w:t xml:space="preserve">نسبة الذهب في القنوات الرسمية من الإنتاج المقدر</w:t>
            </w:r>
          </w:p>
        </w:tc>
        <w:tc>
          <w:tcPr/>
          <w:p>
            <w:pPr>
              <w:pStyle w:val="Compact"/>
              <w:bidi/>
              <w:jc w:val="left"/>
            </w:pPr>
            <w:r>
              <w:rPr>
                <w:rtl/>
              </w:rPr>
              <w:t xml:space="preserve">تُحدَّد في السنة الأولى</w:t>
            </w:r>
          </w:p>
        </w:tc>
        <w:tc>
          <w:tcPr/>
          <w:p>
            <w:pPr>
              <w:pStyle w:val="Compact"/>
              <w:bidi/>
              <w:jc w:val="left"/>
            </w:pPr>
            <w:r>
              <w:rPr>
                <w:rtl/>
              </w:rPr>
              <w:t xml:space="preserve">75%</w:t>
            </w:r>
          </w:p>
        </w:tc>
        <w:tc>
          <w:tcPr/>
          <w:p>
            <w:pPr>
              <w:pStyle w:val="Compact"/>
              <w:bidi/>
              <w:jc w:val="left"/>
            </w:pPr>
            <w:r>
              <w:rPr>
                <w:rtl/>
              </w:rPr>
              <w:t xml:space="preserve">90%</w:t>
            </w:r>
          </w:p>
        </w:tc>
        <w:tc>
          <w:tcPr/>
          <w:p>
            <w:pPr>
              <w:pStyle w:val="Compact"/>
              <w:bidi/>
              <w:jc w:val="left"/>
            </w:pPr>
            <w:r>
              <w:rPr>
                <w:rtl/>
              </w:rPr>
              <w:t xml:space="preserve">95%</w:t>
            </w:r>
          </w:p>
        </w:tc>
      </w:tr>
      <w:tr>
        <w:tc>
          <w:tcPr/>
          <w:p>
            <w:pPr>
              <w:pStyle w:val="Compact"/>
              <w:bidi/>
              <w:jc w:val="left"/>
            </w:pPr>
            <w:r>
              <w:rPr>
                <w:rtl/>
              </w:rPr>
              <w:t xml:space="preserve">الاحتياطيات بأشهر الواردات</w:t>
            </w:r>
          </w:p>
        </w:tc>
        <w:tc>
          <w:tcPr/>
          <w:p>
            <w:pPr>
              <w:pStyle w:val="Compact"/>
              <w:bidi/>
              <w:jc w:val="left"/>
            </w:pPr>
            <w:r>
              <w:rPr>
                <w:rtl/>
              </w:rPr>
              <w:t xml:space="preserve">نحو شهر</w:t>
            </w:r>
          </w:p>
        </w:tc>
        <w:tc>
          <w:tcPr/>
          <w:p>
            <w:pPr>
              <w:pStyle w:val="Compact"/>
              <w:bidi/>
              <w:jc w:val="left"/>
            </w:pPr>
            <w:r>
              <w:rPr>
                <w:rtl/>
              </w:rPr>
              <w:t xml:space="preserve">3 أشهر</w:t>
            </w:r>
          </w:p>
        </w:tc>
        <w:tc>
          <w:tcPr/>
          <w:p>
            <w:pPr>
              <w:pStyle w:val="Compact"/>
              <w:bidi/>
              <w:jc w:val="left"/>
            </w:pPr>
            <w:r>
              <w:rPr>
                <w:rtl/>
              </w:rPr>
              <w:t xml:space="preserve">4 أشهر</w:t>
            </w:r>
          </w:p>
        </w:tc>
        <w:tc>
          <w:tcPr/>
          <w:p>
            <w:pPr>
              <w:pStyle w:val="Compact"/>
              <w:bidi/>
              <w:jc w:val="left"/>
            </w:pPr>
            <w:r>
              <w:rPr>
                <w:rtl/>
              </w:rPr>
              <w:t xml:space="preserve">5 أشهر</w:t>
            </w:r>
          </w:p>
        </w:tc>
      </w:tr>
      <w:tr>
        <w:tc>
          <w:tcPr/>
          <w:p>
            <w:pPr>
              <w:pStyle w:val="Compact"/>
              <w:bidi/>
              <w:jc w:val="left"/>
            </w:pPr>
            <w:r>
              <w:rPr>
                <w:rtl/>
              </w:rPr>
              <w:t xml:space="preserve">إنتاج الكهرباء الفعلي (مقارنة بمستوى 2025)</w:t>
            </w:r>
          </w:p>
        </w:tc>
        <w:tc>
          <w:tcPr/>
          <w:p>
            <w:pPr>
              <w:pStyle w:val="Compact"/>
              <w:bidi/>
              <w:jc w:val="left"/>
            </w:pPr>
            <w:r>
              <w:rPr>
                <w:rtl/>
              </w:rPr>
              <w:t xml:space="preserve">يُحدَّد في المسح الأولي</w:t>
            </w:r>
          </w:p>
        </w:tc>
        <w:tc>
          <w:tcPr/>
          <w:p>
            <w:pPr>
              <w:pStyle w:val="Compact"/>
              <w:bidi/>
              <w:jc w:val="left"/>
            </w:pPr>
            <w:r>
              <w:rPr>
                <w:rtl/>
              </w:rPr>
              <w:t xml:space="preserve">الضعف تقريباً</w:t>
            </w:r>
          </w:p>
        </w:tc>
        <w:tc>
          <w:tcPr/>
          <w:p>
            <w:pPr>
              <w:pStyle w:val="Compact"/>
              <w:bidi/>
              <w:jc w:val="left"/>
            </w:pPr>
            <w:r>
              <w:rPr>
                <w:rtl/>
              </w:rPr>
              <w:t xml:space="preserve">2.5 ضعف</w:t>
            </w:r>
          </w:p>
        </w:tc>
        <w:tc>
          <w:tcPr/>
          <w:p>
            <w:pPr>
              <w:pStyle w:val="Compact"/>
              <w:bidi/>
              <w:jc w:val="left"/>
            </w:pPr>
            <w:r>
              <w:rPr>
                <w:rtl/>
              </w:rPr>
              <w:t xml:space="preserve">3 أضعاف</w:t>
            </w:r>
          </w:p>
        </w:tc>
      </w:tr>
      <w:tr>
        <w:tc>
          <w:tcPr/>
          <w:p>
            <w:pPr>
              <w:pStyle w:val="Compact"/>
              <w:bidi/>
              <w:jc w:val="left"/>
            </w:pPr>
            <w:r>
              <w:rPr>
                <w:rtl/>
              </w:rPr>
              <w:t xml:space="preserve">الوظائف المستحدثة وبطالة الشباب</w:t>
            </w:r>
          </w:p>
        </w:tc>
        <w:tc>
          <w:tcPr/>
          <w:p>
            <w:pPr>
              <w:pStyle w:val="Compact"/>
              <w:bidi/>
              <w:jc w:val="left"/>
            </w:pPr>
            <w:r>
              <w:rPr>
                <w:rtl/>
              </w:rPr>
              <w:t xml:space="preserve">تُحدَّد في مسح القوى العاملة</w:t>
            </w:r>
          </w:p>
        </w:tc>
        <w:tc>
          <w:tcPr/>
          <w:p>
            <w:pPr>
              <w:pStyle w:val="Compact"/>
              <w:bidi/>
              <w:jc w:val="left"/>
            </w:pPr>
            <w:r>
              <w:rPr>
                <w:rtl/>
              </w:rPr>
              <w:t xml:space="preserve">تُحدَّد بعد المسح</w:t>
            </w:r>
          </w:p>
        </w:tc>
        <w:tc>
          <w:tcPr/>
          <w:p>
            <w:pPr>
              <w:pStyle w:val="Compact"/>
              <w:bidi/>
              <w:jc w:val="left"/>
            </w:pPr>
            <w:r>
              <w:rPr>
                <w:rtl/>
              </w:rPr>
              <w:t xml:space="preserve">تُحدَّد بعد المسح</w:t>
            </w:r>
          </w:p>
        </w:tc>
        <w:tc>
          <w:tcPr/>
          <w:p>
            <w:pPr>
              <w:pStyle w:val="Compact"/>
              <w:bidi/>
              <w:jc w:val="left"/>
            </w:pPr>
            <w:r>
              <w:rPr>
                <w:rtl/>
              </w:rPr>
              <w:t xml:space="preserve">تُحدَّد بعد المسح</w:t>
            </w:r>
          </w:p>
        </w:tc>
      </w:tr>
    </w:tbl>
    <w:p>
      <w:pPr>
        <w:bidi/>
      </w:pPr>
      <w:r>
        <w:rPr>
          <w:rtl/>
        </w:rPr>
        <w:br w:type="page"/>
      </w:r>
    </w:p>
    <w:bookmarkEnd w:id="61"/>
    <w:bookmarkStart w:id="62" w:name="خاتمة"/>
    <w:p>
      <w:pPr>
        <w:pStyle w:val="Heading1"/>
        <w:bidi/>
      </w:pPr>
      <w:r>
        <w:rPr>
          <w:rtl/>
        </w:rPr>
        <w:t xml:space="preserve">خاتمة</w:t>
      </w:r>
    </w:p>
    <w:p>
      <w:pPr>
        <w:pStyle w:val="FirstParagraph"/>
        <w:bidi/>
      </w:pPr>
      <w:r>
        <w:rPr>
          <w:rtl/>
        </w:rPr>
        <w:t xml:space="preserve">إن الاقتصاد السوداني قادر على التعافي، لكن ليس بأي ثمن ولا بأي ترتيب.</w:t>
      </w:r>
      <w:r>
        <w:rPr>
          <w:rtl/>
        </w:rPr>
        <w:t xml:space="preserve"> </w:t>
      </w:r>
      <w:r>
        <w:rPr>
          <w:b/>
          <w:bCs/>
          <w:rtl/>
        </w:rPr>
        <w:t xml:space="preserve">فالسلام هو الشرط الحاكم لتحرير الموارد وعودة الاستثمار والتمويل الخارجي والإنتاج، والإيرادات العامة هي عنق الزجاجة، والذهب هو المفتاح الأسرع، والزراعة هي القاطرة، والشفافية هي الضمانة.</w:t>
      </w:r>
      <w:r>
        <w:rPr>
          <w:rtl/>
        </w:rPr>
        <w:t xml:space="preserve"> </w:t>
      </w:r>
      <w:r>
        <w:rPr>
          <w:rtl/>
        </w:rPr>
        <w:t xml:space="preserve">وحتى السيناريو المعتدل لا يعيد الاقتصاد إلى حجمه قبل الحرب إلا قرب نهاية أفق الرؤية. ولذلك فإن الطموح ضرورة، لكنه طموح يُبنى على أرقام معلنة وافتراضات مكشوفة، لا على وعود.</w:t>
      </w:r>
    </w:p>
    <w:p>
      <w:pPr>
        <w:bidi/>
      </w:pPr>
      <w:r>
        <w:rPr>
          <w:rtl/>
        </w:rPr>
        <w:br w:type="page"/>
      </w:r>
    </w:p>
    <w:bookmarkEnd w:id="62"/>
    <w:bookmarkStart w:id="63" w:name="X2c6443957db72887694d2f93066ebf1da4aabed"/>
    <w:p>
      <w:pPr>
        <w:pStyle w:val="Heading1"/>
        <w:bidi/>
      </w:pPr>
      <w:r>
        <w:rPr>
          <w:rtl/>
        </w:rPr>
        <w:t xml:space="preserve">الملحق الأول: جدول المصادر للأرقام التقديرية</w:t>
      </w:r>
    </w:p>
    <w:tbl>
      <w:tblPr>
        <w:tblStyle w:val="Table"/>
        <w:bidiVisual/>
        <w:tblW w:w="5000" w:type="pct"/>
        <w:jc w:val="start"/>
        <w:tblLook w:val="04A0" w:firstRow="1" w:lastRow="0" w:firstColumn="0" w:lastColumn="0" w:noHBand="0" w:noVBand="1"/>
      </w:tblPr>
      <w:tblGrid>
        <w:gridCol w:w="1584"/>
        <w:gridCol w:w="1584"/>
        <w:gridCol w:w="1584"/>
        <w:gridCol w:w="1584"/>
        <w:gridCol w:w="1584"/>
      </w:tblGrid>
      <w:tr>
        <w:trPr>
          <w:tblHeader w:val="true"/>
        </w:trPr>
        <w:tc>
          <w:tcPr/>
          <w:p>
            <w:pPr>
              <w:pStyle w:val="Compact"/>
              <w:bidi/>
              <w:jc w:val="left"/>
            </w:pPr>
            <w:r>
              <w:rPr>
                <w:rtl/>
              </w:rPr>
              <w:t xml:space="preserve">الرقم</w:t>
            </w:r>
          </w:p>
        </w:tc>
        <w:tc>
          <w:tcPr/>
          <w:p>
            <w:pPr>
              <w:pStyle w:val="Compact"/>
              <w:bidi/>
              <w:jc w:val="left"/>
            </w:pPr>
            <w:r>
              <w:rPr>
                <w:rtl/>
              </w:rPr>
              <w:t xml:space="preserve">القيمة المستخدمة</w:t>
            </w:r>
          </w:p>
        </w:tc>
        <w:tc>
          <w:tcPr/>
          <w:p>
            <w:pPr>
              <w:pStyle w:val="Compact"/>
              <w:bidi/>
              <w:jc w:val="left"/>
            </w:pPr>
            <w:r>
              <w:rPr>
                <w:rtl/>
              </w:rPr>
              <w:t xml:space="preserve">المصدر</w:t>
            </w:r>
          </w:p>
        </w:tc>
        <w:tc>
          <w:tcPr/>
          <w:p>
            <w:pPr>
              <w:pStyle w:val="Compact"/>
              <w:bidi/>
              <w:jc w:val="left"/>
            </w:pPr>
            <w:r>
              <w:rPr>
                <w:rtl/>
              </w:rPr>
              <w:t xml:space="preserve">السنة</w:t>
            </w:r>
          </w:p>
        </w:tc>
        <w:tc>
          <w:tcPr/>
          <w:p>
            <w:pPr>
              <w:pStyle w:val="Compact"/>
              <w:bidi/>
              <w:jc w:val="left"/>
            </w:pPr>
            <w:r>
              <w:rPr>
                <w:rtl/>
              </w:rPr>
              <w:t xml:space="preserve">المنهج وحدود الاستخدام</w:t>
            </w:r>
          </w:p>
        </w:tc>
      </w:tr>
      <w:tr>
        <w:tc>
          <w:tcPr/>
          <w:p>
            <w:pPr>
              <w:pStyle w:val="Compact"/>
              <w:bidi/>
              <w:jc w:val="left"/>
            </w:pPr>
            <w:r>
              <w:rPr>
                <w:rtl/>
              </w:rPr>
              <w:t xml:space="preserve">إنتاج الذهب</w:t>
            </w:r>
          </w:p>
        </w:tc>
        <w:tc>
          <w:tcPr/>
          <w:p>
            <w:pPr>
              <w:pStyle w:val="Compact"/>
              <w:bidi/>
              <w:jc w:val="left"/>
            </w:pPr>
            <w:r>
              <w:rPr>
                <w:rtl/>
              </w:rPr>
              <w:t xml:space="preserve">نحو 64 طناً</w:t>
            </w:r>
          </w:p>
        </w:tc>
        <w:tc>
          <w:tcPr/>
          <w:p>
            <w:pPr>
              <w:pStyle w:val="Compact"/>
              <w:bidi/>
              <w:jc w:val="left"/>
            </w:pPr>
            <w:r>
              <w:rPr>
                <w:rtl/>
              </w:rPr>
              <w:t xml:space="preserve">بيانات رسمية سودانية لعام 2024، كما نقلتها الدراسة الأولية للتوفير الشامل (2025)</w:t>
            </w:r>
          </w:p>
        </w:tc>
        <w:tc>
          <w:tcPr/>
          <w:p>
            <w:pPr>
              <w:pStyle w:val="Compact"/>
              <w:bidi/>
              <w:jc w:val="left"/>
            </w:pPr>
            <w:r>
              <w:rPr>
                <w:rtl/>
              </w:rPr>
              <w:t xml:space="preserve">2024</w:t>
            </w:r>
          </w:p>
        </w:tc>
        <w:tc>
          <w:tcPr/>
          <w:p>
            <w:pPr>
              <w:pStyle w:val="Compact"/>
              <w:bidi/>
              <w:jc w:val="left"/>
            </w:pPr>
            <w:r>
              <w:rPr>
                <w:rtl/>
              </w:rPr>
              <w:t xml:space="preserve">رقم رسمي معلن، لا يشمل بالضرورة كل الإنتاج الأهلي؛ يحتاج إلى تحقق مستقل</w:t>
            </w:r>
          </w:p>
        </w:tc>
      </w:tr>
      <w:tr>
        <w:tc>
          <w:tcPr/>
          <w:p>
            <w:pPr>
              <w:pStyle w:val="Compact"/>
              <w:bidi/>
              <w:jc w:val="left"/>
            </w:pPr>
            <w:r>
              <w:rPr>
                <w:rtl/>
              </w:rPr>
              <w:t xml:space="preserve">قيمة إنتاج الذهب</w:t>
            </w:r>
          </w:p>
        </w:tc>
        <w:tc>
          <w:tcPr/>
          <w:p>
            <w:pPr>
              <w:pStyle w:val="Compact"/>
              <w:bidi/>
              <w:jc w:val="left"/>
            </w:pPr>
            <w:r>
              <w:rPr>
                <w:rtl/>
              </w:rPr>
              <w:t xml:space="preserve">6 إلى 7 مليارات دولار</w:t>
            </w:r>
          </w:p>
        </w:tc>
        <w:tc>
          <w:tcPr/>
          <w:p>
            <w:pPr>
              <w:pStyle w:val="Compact"/>
              <w:bidi/>
              <w:jc w:val="left"/>
            </w:pPr>
            <w:r>
              <w:rPr>
                <w:rtl/>
              </w:rPr>
              <w:t xml:space="preserve">حساب المؤلف</w:t>
            </w:r>
          </w:p>
        </w:tc>
        <w:tc>
          <w:tcPr/>
          <w:p>
            <w:pPr>
              <w:pStyle w:val="Compact"/>
              <w:bidi/>
              <w:jc w:val="left"/>
            </w:pPr>
            <w:r>
              <w:rPr>
                <w:rtl/>
              </w:rPr>
              <w:t xml:space="preserve">2025</w:t>
            </w:r>
          </w:p>
        </w:tc>
        <w:tc>
          <w:tcPr/>
          <w:p>
            <w:pPr>
              <w:pStyle w:val="Compact"/>
              <w:bidi/>
              <w:jc w:val="left"/>
            </w:pPr>
            <w:r>
              <w:rPr>
                <w:rtl/>
              </w:rPr>
              <w:t xml:space="preserve">الإنتاج × متوسط تقريبي لأسعار 2025؛ يتغير بتغير الأسعار</w:t>
            </w:r>
          </w:p>
        </w:tc>
      </w:tr>
      <w:tr>
        <w:tc>
          <w:tcPr/>
          <w:p>
            <w:pPr>
              <w:pStyle w:val="Compact"/>
              <w:bidi/>
              <w:jc w:val="left"/>
            </w:pPr>
            <w:r>
              <w:rPr>
                <w:rtl/>
              </w:rPr>
              <w:t xml:space="preserve">نسبة الذهب خارج القنوات الرسمية</w:t>
            </w:r>
          </w:p>
        </w:tc>
        <w:tc>
          <w:tcPr/>
          <w:p>
            <w:pPr>
              <w:pStyle w:val="Compact"/>
              <w:bidi/>
              <w:jc w:val="left"/>
            </w:pPr>
            <w:r>
              <w:rPr>
                <w:rtl/>
              </w:rPr>
              <w:t xml:space="preserve">أكثر من النصف في بعض التقديرات</w:t>
            </w:r>
          </w:p>
        </w:tc>
        <w:tc>
          <w:tcPr/>
          <w:p>
            <w:pPr>
              <w:pStyle w:val="Compact"/>
              <w:bidi/>
              <w:jc w:val="left"/>
            </w:pPr>
            <w:r>
              <w:rPr>
                <w:rtl/>
              </w:rPr>
              <w:t xml:space="preserve">تقرير فريق خبراء الأمم المتحدة (S/2024/65)</w:t>
            </w:r>
          </w:p>
        </w:tc>
        <w:tc>
          <w:tcPr/>
          <w:p>
            <w:pPr>
              <w:pStyle w:val="Compact"/>
              <w:bidi/>
              <w:jc w:val="left"/>
            </w:pPr>
            <w:r>
              <w:rPr>
                <w:rtl/>
              </w:rPr>
              <w:t xml:space="preserve">2024</w:t>
            </w:r>
          </w:p>
        </w:tc>
        <w:tc>
          <w:tcPr/>
          <w:p>
            <w:pPr>
              <w:pStyle w:val="Compact"/>
              <w:bidi/>
              <w:jc w:val="left"/>
            </w:pPr>
            <w:r>
              <w:rPr>
                <w:rtl/>
              </w:rPr>
              <w:t xml:space="preserve">تقديرات واردة في التقرير، لا قياس مباشر</w:t>
            </w:r>
          </w:p>
        </w:tc>
      </w:tr>
      <w:tr>
        <w:tc>
          <w:tcPr/>
          <w:p>
            <w:pPr>
              <w:pStyle w:val="Compact"/>
              <w:bidi/>
              <w:jc w:val="left"/>
            </w:pPr>
            <w:r>
              <w:rPr>
                <w:rtl/>
              </w:rPr>
              <w:t xml:space="preserve">خسارة الخزينة من تهريب الذهب</w:t>
            </w:r>
          </w:p>
        </w:tc>
        <w:tc>
          <w:tcPr/>
          <w:p>
            <w:pPr>
              <w:pStyle w:val="Compact"/>
              <w:bidi/>
              <w:jc w:val="left"/>
            </w:pPr>
            <w:r>
              <w:rPr>
                <w:rtl/>
              </w:rPr>
              <w:t xml:space="preserve">1 إلى 2.5 مليار دولار سنوياً</w:t>
            </w:r>
          </w:p>
        </w:tc>
        <w:tc>
          <w:tcPr/>
          <w:p>
            <w:pPr>
              <w:pStyle w:val="Compact"/>
              <w:bidi/>
              <w:jc w:val="left"/>
            </w:pPr>
            <w:r>
              <w:rPr>
                <w:rtl/>
              </w:rPr>
              <w:t xml:space="preserve">دراسة «القفزة الاقتصادية السودانية» وتقارير دولية</w:t>
            </w:r>
          </w:p>
        </w:tc>
        <w:tc>
          <w:tcPr/>
          <w:p>
            <w:pPr>
              <w:pStyle w:val="Compact"/>
              <w:bidi/>
              <w:jc w:val="left"/>
            </w:pPr>
            <w:r>
              <w:rPr>
                <w:rtl/>
              </w:rPr>
              <w:t xml:space="preserve">2025</w:t>
            </w:r>
          </w:p>
        </w:tc>
        <w:tc>
          <w:tcPr/>
          <w:p>
            <w:pPr>
              <w:pStyle w:val="Compact"/>
              <w:bidi/>
              <w:jc w:val="left"/>
            </w:pPr>
            <w:r>
              <w:rPr>
                <w:rtl/>
              </w:rPr>
              <w:t xml:space="preserve">تقدير نطاقي؛</w:t>
            </w:r>
            <w:r>
              <w:rPr>
                <w:rtl/>
              </w:rPr>
              <w:t xml:space="preserve"> </w:t>
            </w:r>
            <w:r>
              <w:rPr>
                <w:b/>
                <w:bCs/>
                <w:rtl/>
              </w:rPr>
              <w:t xml:space="preserve">لا يُستخدم في حسابات الإيرادات</w:t>
            </w:r>
          </w:p>
        </w:tc>
      </w:tr>
      <w:tr>
        <w:tc>
          <w:tcPr/>
          <w:p>
            <w:pPr>
              <w:pStyle w:val="Compact"/>
              <w:bidi/>
              <w:jc w:val="left"/>
            </w:pPr>
            <w:r>
              <w:rPr>
                <w:rtl/>
              </w:rPr>
              <w:t xml:space="preserve">الشركات التابعة للأجهزة النظامية</w:t>
            </w:r>
          </w:p>
        </w:tc>
        <w:tc>
          <w:tcPr/>
          <w:p>
            <w:pPr>
              <w:pStyle w:val="Compact"/>
              <w:bidi/>
              <w:jc w:val="left"/>
            </w:pPr>
            <w:r>
              <w:rPr>
                <w:rtl/>
              </w:rPr>
              <w:t xml:space="preserve">نحو 250 شركة ونحو ملياري دولار سنوياً</w:t>
            </w:r>
          </w:p>
        </w:tc>
        <w:tc>
          <w:tcPr/>
          <w:p>
            <w:pPr>
              <w:pStyle w:val="Compact"/>
              <w:bidi/>
              <w:jc w:val="left"/>
            </w:pPr>
            <w:r>
              <w:rPr>
                <w:rtl/>
              </w:rPr>
              <w:t xml:space="preserve">تقديرات متداولة منذ 2020</w:t>
            </w:r>
          </w:p>
        </w:tc>
        <w:tc>
          <w:tcPr/>
          <w:p>
            <w:pPr>
              <w:pStyle w:val="Compact"/>
              <w:bidi/>
              <w:jc w:val="left"/>
            </w:pPr>
            <w:r>
              <w:rPr>
                <w:rtl/>
              </w:rPr>
              <w:t xml:space="preserve">2020</w:t>
            </w:r>
          </w:p>
        </w:tc>
        <w:tc>
          <w:tcPr/>
          <w:p>
            <w:pPr>
              <w:pStyle w:val="Compact"/>
              <w:bidi/>
              <w:jc w:val="left"/>
            </w:pPr>
            <w:r>
              <w:rPr>
                <w:b/>
                <w:bCs/>
                <w:rtl/>
              </w:rPr>
              <w:t xml:space="preserve">لا يُستخدم في أي حساب مالي</w:t>
            </w:r>
            <w:r>
              <w:rPr>
                <w:rtl/>
              </w:rPr>
              <w:t xml:space="preserve"> </w:t>
            </w:r>
            <w:r>
              <w:rPr>
                <w:rtl/>
              </w:rPr>
              <w:t xml:space="preserve">قبل الجرد الرسمي</w:t>
            </w:r>
          </w:p>
        </w:tc>
      </w:tr>
      <w:tr>
        <w:tc>
          <w:tcPr/>
          <w:p>
            <w:pPr>
              <w:pStyle w:val="Compact"/>
              <w:bidi/>
              <w:jc w:val="left"/>
            </w:pPr>
            <w:r>
              <w:rPr>
                <w:rtl/>
              </w:rPr>
              <w:t xml:space="preserve">تحويلات المغتربين الممكن استقطابها</w:t>
            </w:r>
          </w:p>
        </w:tc>
        <w:tc>
          <w:tcPr/>
          <w:p>
            <w:pPr>
              <w:pStyle w:val="Compact"/>
              <w:bidi/>
              <w:jc w:val="left"/>
            </w:pPr>
            <w:r>
              <w:rPr>
                <w:rtl/>
              </w:rPr>
              <w:t xml:space="preserve">1.5 إلى 2.3 مليار دولار سنوياً</w:t>
            </w:r>
          </w:p>
        </w:tc>
        <w:tc>
          <w:tcPr/>
          <w:p>
            <w:pPr>
              <w:pStyle w:val="Compact"/>
              <w:bidi/>
              <w:jc w:val="left"/>
            </w:pPr>
            <w:r>
              <w:rPr>
                <w:rtl/>
              </w:rPr>
              <w:t xml:space="preserve">اللجنة الاقتصادية لأفريقيا التابعة للأمم المتحدة</w:t>
            </w:r>
          </w:p>
        </w:tc>
        <w:tc>
          <w:tcPr/>
          <w:p>
            <w:pPr>
              <w:pStyle w:val="Compact"/>
              <w:bidi/>
              <w:jc w:val="left"/>
            </w:pPr>
            <w:r>
              <w:rPr>
                <w:rtl/>
              </w:rPr>
              <w:t xml:space="preserve">2020</w:t>
            </w:r>
          </w:p>
        </w:tc>
        <w:tc>
          <w:tcPr/>
          <w:p>
            <w:pPr>
              <w:pStyle w:val="Compact"/>
              <w:bidi/>
              <w:jc w:val="left"/>
            </w:pPr>
            <w:r>
              <w:rPr>
                <w:rtl/>
              </w:rPr>
              <w:t xml:space="preserve">تقدير لإمكانية النقل إلى القنوات الرسمية، لا تحويلات جديدة</w:t>
            </w:r>
          </w:p>
        </w:tc>
      </w:tr>
      <w:tr>
        <w:tc>
          <w:tcPr/>
          <w:p>
            <w:pPr>
              <w:pStyle w:val="Compact"/>
              <w:bidi/>
              <w:jc w:val="left"/>
            </w:pPr>
            <w:r>
              <w:rPr>
                <w:rtl/>
              </w:rPr>
              <w:t xml:space="preserve">الصادرات</w:t>
            </w:r>
          </w:p>
        </w:tc>
        <w:tc>
          <w:tcPr/>
          <w:p>
            <w:pPr>
              <w:pStyle w:val="Compact"/>
              <w:bidi/>
              <w:jc w:val="left"/>
            </w:pPr>
            <w:r>
              <w:rPr>
                <w:rtl/>
              </w:rPr>
              <w:t xml:space="preserve">نحو 2.4 مليار دولار</w:t>
            </w:r>
          </w:p>
        </w:tc>
        <w:tc>
          <w:tcPr/>
          <w:p>
            <w:pPr>
              <w:pStyle w:val="Compact"/>
              <w:bidi/>
              <w:jc w:val="left"/>
            </w:pPr>
            <w:r>
              <w:rPr>
                <w:rtl/>
              </w:rPr>
              <w:t xml:space="preserve">تقديرات الرؤية</w:t>
            </w:r>
          </w:p>
        </w:tc>
        <w:tc>
          <w:tcPr/>
          <w:p>
            <w:pPr>
              <w:pStyle w:val="Compact"/>
              <w:bidi/>
              <w:jc w:val="left"/>
            </w:pPr>
            <w:r>
              <w:rPr>
                <w:rtl/>
              </w:rPr>
              <w:t xml:space="preserve">2025</w:t>
            </w:r>
          </w:p>
        </w:tc>
        <w:tc>
          <w:tcPr/>
          <w:p>
            <w:pPr>
              <w:pStyle w:val="Compact"/>
              <w:bidi/>
              <w:jc w:val="left"/>
            </w:pPr>
            <w:r>
              <w:rPr>
                <w:rtl/>
              </w:rPr>
              <w:t xml:space="preserve">يحتاج إلى تحديث من البنك المركزي</w:t>
            </w:r>
          </w:p>
        </w:tc>
      </w:tr>
      <w:tr>
        <w:tc>
          <w:tcPr/>
          <w:p>
            <w:pPr>
              <w:pStyle w:val="Compact"/>
              <w:bidi/>
              <w:jc w:val="left"/>
            </w:pPr>
            <w:r>
              <w:rPr>
                <w:rtl/>
              </w:rPr>
              <w:t xml:space="preserve">السكان</w:t>
            </w:r>
          </w:p>
        </w:tc>
        <w:tc>
          <w:tcPr/>
          <w:p>
            <w:pPr>
              <w:pStyle w:val="Compact"/>
              <w:bidi/>
              <w:jc w:val="left"/>
            </w:pPr>
            <w:r>
              <w:rPr>
                <w:rtl/>
              </w:rPr>
              <w:t xml:space="preserve">53,125,882 (تقدير 2026)، ونمو 2.6% سنوياً</w:t>
            </w:r>
          </w:p>
        </w:tc>
        <w:tc>
          <w:tcPr/>
          <w:p>
            <w:pPr>
              <w:pStyle w:val="Compact"/>
              <w:bidi/>
              <w:jc w:val="left"/>
            </w:pPr>
            <w:r>
              <w:rPr>
                <w:rtl/>
              </w:rPr>
              <w:t xml:space="preserve">تقدير رسمي أورده المؤلف؛ والنمو مفترض</w:t>
            </w:r>
          </w:p>
        </w:tc>
        <w:tc>
          <w:tcPr/>
          <w:p>
            <w:pPr>
              <w:pStyle w:val="Compact"/>
              <w:bidi/>
              <w:jc w:val="left"/>
            </w:pPr>
            <w:r>
              <w:rPr>
                <w:rtl/>
              </w:rPr>
              <w:t xml:space="preserve">2026</w:t>
            </w:r>
          </w:p>
        </w:tc>
        <w:tc>
          <w:tcPr/>
          <w:p>
            <w:pPr>
              <w:pStyle w:val="Compact"/>
              <w:bidi/>
              <w:jc w:val="left"/>
            </w:pPr>
            <w:r>
              <w:rPr>
                <w:rtl/>
              </w:rPr>
              <w:t xml:space="preserve">يُراجع بعد التعداد</w:t>
            </w:r>
          </w:p>
        </w:tc>
      </w:tr>
      <w:tr>
        <w:tc>
          <w:tcPr/>
          <w:p>
            <w:pPr>
              <w:pStyle w:val="Compact"/>
              <w:bidi/>
              <w:jc w:val="left"/>
            </w:pPr>
            <w:r>
              <w:rPr>
                <w:rtl/>
              </w:rPr>
              <w:t xml:space="preserve">كلفة الدخل الأساسي الشامل</w:t>
            </w:r>
          </w:p>
        </w:tc>
        <w:tc>
          <w:tcPr/>
          <w:p>
            <w:pPr>
              <w:pStyle w:val="Compact"/>
              <w:bidi/>
              <w:jc w:val="left"/>
            </w:pPr>
            <w:r>
              <w:rPr>
                <w:rtl/>
              </w:rPr>
              <w:t xml:space="preserve">نحو 17.1 مليار دولار سنوياً</w:t>
            </w:r>
          </w:p>
        </w:tc>
        <w:tc>
          <w:tcPr/>
          <w:p>
            <w:pPr>
              <w:pStyle w:val="Compact"/>
              <w:bidi/>
              <w:jc w:val="left"/>
            </w:pPr>
            <w:r>
              <w:rPr>
                <w:rtl/>
              </w:rPr>
              <w:t xml:space="preserve">حساب المؤلف على أساس مقترح الدراسة الأولية</w:t>
            </w:r>
          </w:p>
        </w:tc>
        <w:tc>
          <w:tcPr/>
          <w:p>
            <w:pPr>
              <w:pStyle w:val="Compact"/>
              <w:bidi/>
              <w:jc w:val="left"/>
            </w:pPr>
            <w:r>
              <w:rPr>
                <w:rtl/>
              </w:rPr>
              <w:t xml:space="preserve">2026</w:t>
            </w:r>
          </w:p>
        </w:tc>
        <w:tc>
          <w:tcPr/>
          <w:p>
            <w:pPr>
              <w:pStyle w:val="Compact"/>
              <w:bidi/>
              <w:jc w:val="left"/>
            </w:pPr>
            <w:r>
              <w:rPr>
                <w:rtl/>
              </w:rPr>
              <w:t xml:space="preserve">50 دولاراً شهرياً × نحو 28.5 مليون بالغ × 12 شهراً؛ ونسبة من هم فوق 18 سنة نحو 53.7%</w:t>
            </w:r>
          </w:p>
        </w:tc>
      </w:tr>
      <w:tr>
        <w:tc>
          <w:tcPr/>
          <w:p>
            <w:pPr>
              <w:pStyle w:val="Compact"/>
              <w:bidi/>
              <w:jc w:val="left"/>
            </w:pPr>
            <w:r>
              <w:rPr>
                <w:rtl/>
              </w:rPr>
              <w:t xml:space="preserve">كلفة التجربة الرائدة</w:t>
            </w:r>
          </w:p>
        </w:tc>
        <w:tc>
          <w:tcPr/>
          <w:p>
            <w:pPr>
              <w:pStyle w:val="Compact"/>
              <w:bidi/>
              <w:jc w:val="left"/>
            </w:pPr>
            <w:r>
              <w:rPr>
                <w:rtl/>
              </w:rPr>
              <w:t xml:space="preserve">نحو 36 مليون دولار</w:t>
            </w:r>
          </w:p>
        </w:tc>
        <w:tc>
          <w:tcPr/>
          <w:p>
            <w:pPr>
              <w:pStyle w:val="Compact"/>
              <w:bidi/>
              <w:jc w:val="left"/>
            </w:pPr>
            <w:r>
              <w:rPr>
                <w:rtl/>
              </w:rPr>
              <w:t xml:space="preserve">حساب المؤلف</w:t>
            </w:r>
          </w:p>
        </w:tc>
        <w:tc>
          <w:tcPr/>
          <w:p>
            <w:pPr>
              <w:pStyle w:val="Compact"/>
              <w:bidi/>
              <w:jc w:val="left"/>
            </w:pPr>
            <w:r>
              <w:rPr>
                <w:rtl/>
              </w:rPr>
              <w:t xml:space="preserve">2026</w:t>
            </w:r>
          </w:p>
        </w:tc>
        <w:tc>
          <w:tcPr/>
          <w:p>
            <w:pPr>
              <w:pStyle w:val="Compact"/>
              <w:bidi/>
              <w:jc w:val="left"/>
            </w:pPr>
            <w:r>
              <w:rPr>
                <w:rtl/>
              </w:rPr>
              <w:t xml:space="preserve">نحو 150 دولاراً شهرياً للأسرة (ثلاثة بالغين) × 10,000 أسرة × 24 شهراً، دون كلفة التقييم</w:t>
            </w:r>
          </w:p>
        </w:tc>
      </w:tr>
      <w:tr>
        <w:tc>
          <w:tcPr/>
          <w:p>
            <w:pPr>
              <w:pStyle w:val="Compact"/>
              <w:bidi/>
              <w:jc w:val="left"/>
            </w:pPr>
            <w:r>
              <w:rPr>
                <w:rtl/>
              </w:rPr>
              <w:t xml:space="preserve">الدين الخارجي</w:t>
            </w:r>
          </w:p>
        </w:tc>
        <w:tc>
          <w:tcPr/>
          <w:p>
            <w:pPr>
              <w:pStyle w:val="Compact"/>
              <w:bidi/>
              <w:jc w:val="left"/>
            </w:pPr>
            <w:r>
              <w:rPr>
                <w:rtl/>
              </w:rPr>
              <w:t xml:space="preserve">أكثر من 50 مليار دولار</w:t>
            </w:r>
          </w:p>
        </w:tc>
        <w:tc>
          <w:tcPr/>
          <w:p>
            <w:pPr>
              <w:pStyle w:val="Compact"/>
              <w:bidi/>
              <w:jc w:val="left"/>
            </w:pPr>
            <w:r>
              <w:rPr>
                <w:rtl/>
              </w:rPr>
              <w:t xml:space="preserve">صندوق النقد الدولي، نقطة القرار في المبادرة</w:t>
            </w:r>
          </w:p>
        </w:tc>
        <w:tc>
          <w:tcPr/>
          <w:p>
            <w:pPr>
              <w:pStyle w:val="Compact"/>
              <w:bidi/>
              <w:jc w:val="left"/>
            </w:pPr>
            <w:r>
              <w:rPr>
                <w:rtl/>
              </w:rPr>
              <w:t xml:space="preserve">2021</w:t>
            </w:r>
          </w:p>
        </w:tc>
        <w:tc>
          <w:tcPr/>
          <w:p>
            <w:pPr>
              <w:pStyle w:val="Compact"/>
              <w:bidi/>
              <w:jc w:val="left"/>
            </w:pPr>
            <w:r>
              <w:rPr>
                <w:rtl/>
              </w:rPr>
              <w:t xml:space="preserve">رصيد قبل الحرب؛ يحتاج إلى تحديث</w:t>
            </w:r>
          </w:p>
        </w:tc>
      </w:tr>
      <w:tr>
        <w:tc>
          <w:tcPr/>
          <w:p>
            <w:pPr>
              <w:pStyle w:val="Compact"/>
              <w:bidi/>
              <w:jc w:val="left"/>
            </w:pPr>
            <w:r>
              <w:rPr>
                <w:rtl/>
              </w:rPr>
              <w:t xml:space="preserve">كلفة البرامج (100–171 مليار)</w:t>
            </w:r>
          </w:p>
        </w:tc>
        <w:tc>
          <w:tcPr/>
          <w:p>
            <w:pPr>
              <w:pStyle w:val="Compact"/>
              <w:bidi/>
              <w:jc w:val="left"/>
            </w:pPr>
            <w:r>
              <w:rPr>
                <w:rtl/>
              </w:rPr>
              <w:t xml:space="preserve">نطاق</w:t>
            </w:r>
          </w:p>
        </w:tc>
        <w:tc>
          <w:tcPr/>
          <w:p>
            <w:pPr>
              <w:pStyle w:val="Compact"/>
              <w:bidi/>
              <w:jc w:val="left"/>
            </w:pPr>
            <w:r>
              <w:rPr>
                <w:rtl/>
              </w:rPr>
              <w:t xml:space="preserve">ملحق الكلفة في الرؤية</w:t>
            </w:r>
          </w:p>
        </w:tc>
        <w:tc>
          <w:tcPr/>
          <w:p>
            <w:pPr>
              <w:pStyle w:val="Compact"/>
              <w:bidi/>
              <w:jc w:val="left"/>
            </w:pPr>
            <w:r>
              <w:rPr>
                <w:rtl/>
              </w:rPr>
              <w:t xml:space="preserve">2026</w:t>
            </w:r>
          </w:p>
        </w:tc>
        <w:tc>
          <w:tcPr/>
          <w:p>
            <w:pPr>
              <w:pStyle w:val="Compact"/>
              <w:bidi/>
              <w:jc w:val="left"/>
            </w:pPr>
            <w:r>
              <w:rPr>
                <w:rtl/>
              </w:rPr>
              <w:t xml:space="preserve">تقديرات عليا تحتاج إلى مصفوفة كلفة تفصيلية</w:t>
            </w:r>
          </w:p>
        </w:tc>
      </w:tr>
    </w:tbl>
    <w:p>
      <w:pPr>
        <w:bidi/>
      </w:pPr>
      <w:r>
        <w:rPr>
          <w:rtl/>
        </w:rPr>
        <w:br w:type="page"/>
      </w:r>
    </w:p>
    <w:bookmarkEnd w:id="63"/>
    <w:bookmarkStart w:id="64" w:name="X8a3299f73ae70155d2da7925470dda446ba0370"/>
    <w:p>
      <w:pPr>
        <w:pStyle w:val="Heading1"/>
        <w:bidi/>
      </w:pPr>
      <w:r>
        <w:rPr>
          <w:rtl/>
        </w:rPr>
        <w:t xml:space="preserve">الملحق الثاني: هيكل مصفوفة الكلفة التفصيلية</w:t>
      </w:r>
    </w:p>
    <w:p>
      <w:pPr>
        <w:pStyle w:val="FirstParagraph"/>
        <w:bidi/>
      </w:pPr>
      <w:r>
        <w:rPr>
          <w:rtl/>
        </w:rPr>
        <w:t xml:space="preserve">تحتاج أرقام الكلفة الإجمالية إلى مصفوفة يمكن تدقيقها مشروعاً مشروعاً. وهذا هيكلها، وتُستكمل بعد المسح الأولي ودراسات الجدوى:</w:t>
      </w:r>
    </w:p>
    <w:tbl>
      <w:tblPr>
        <w:tblStyle w:val="Table"/>
        <w:bidiVisual/>
        <w:tblW w:w="5000" w:type="pct"/>
        <w:jc w:val="start"/>
        <w:tblLook w:val="04A0" w:firstRow="1" w:lastRow="0" w:firstColumn="0" w:lastColumn="0" w:noHBand="0" w:noVBand="1"/>
      </w:tblPr>
      <w:tblGrid>
        <w:gridCol w:w="792"/>
        <w:gridCol w:w="792"/>
        <w:gridCol w:w="792"/>
        <w:gridCol w:w="792"/>
        <w:gridCol w:w="792"/>
        <w:gridCol w:w="792"/>
        <w:gridCol w:w="792"/>
        <w:gridCol w:w="792"/>
        <w:gridCol w:w="792"/>
        <w:gridCol w:w="792"/>
      </w:tblGrid>
      <w:tr>
        <w:trPr>
          <w:tblHeader w:val="true"/>
        </w:trPr>
        <w:tc>
          <w:tcPr/>
          <w:p>
            <w:pPr>
              <w:pStyle w:val="Compact"/>
              <w:bidi/>
              <w:jc w:val="left"/>
            </w:pPr>
            <w:r>
              <w:rPr>
                <w:rtl/>
              </w:rPr>
              <w:t xml:space="preserve">المشروع</w:t>
            </w:r>
          </w:p>
        </w:tc>
        <w:tc>
          <w:tcPr/>
          <w:p>
            <w:pPr>
              <w:pStyle w:val="Compact"/>
              <w:bidi/>
              <w:jc w:val="left"/>
            </w:pPr>
            <w:r>
              <w:rPr>
                <w:rtl/>
              </w:rPr>
              <w:t xml:space="preserve">الكلفة الرأسمالية</w:t>
            </w:r>
          </w:p>
        </w:tc>
        <w:tc>
          <w:tcPr/>
          <w:p>
            <w:pPr>
              <w:pStyle w:val="Compact"/>
              <w:bidi/>
              <w:jc w:val="left"/>
            </w:pPr>
            <w:r>
              <w:rPr>
                <w:rtl/>
              </w:rPr>
              <w:t xml:space="preserve">كلفة التشغيل السنوية</w:t>
            </w:r>
          </w:p>
        </w:tc>
        <w:tc>
          <w:tcPr/>
          <w:p>
            <w:pPr>
              <w:pStyle w:val="Compact"/>
              <w:bidi/>
              <w:jc w:val="left"/>
            </w:pPr>
            <w:r>
              <w:rPr>
                <w:rtl/>
              </w:rPr>
              <w:t xml:space="preserve">المستفيدون</w:t>
            </w:r>
          </w:p>
        </w:tc>
        <w:tc>
          <w:tcPr/>
          <w:p>
            <w:pPr>
              <w:pStyle w:val="Compact"/>
              <w:bidi/>
              <w:jc w:val="left"/>
            </w:pPr>
            <w:r>
              <w:rPr>
                <w:rtl/>
              </w:rPr>
              <w:t xml:space="preserve">سنوات التنفيذ</w:t>
            </w:r>
          </w:p>
        </w:tc>
        <w:tc>
          <w:tcPr/>
          <w:p>
            <w:pPr>
              <w:pStyle w:val="Compact"/>
              <w:bidi/>
              <w:jc w:val="left"/>
            </w:pPr>
            <w:r>
              <w:rPr>
                <w:rtl/>
              </w:rPr>
              <w:t xml:space="preserve">التمويل المحلي</w:t>
            </w:r>
          </w:p>
        </w:tc>
        <w:tc>
          <w:tcPr/>
          <w:p>
            <w:pPr>
              <w:pStyle w:val="Compact"/>
              <w:bidi/>
              <w:jc w:val="left"/>
            </w:pPr>
            <w:r>
              <w:rPr>
                <w:rtl/>
              </w:rPr>
              <w:t xml:space="preserve">التمويل الخارجي</w:t>
            </w:r>
          </w:p>
        </w:tc>
        <w:tc>
          <w:tcPr/>
          <w:p>
            <w:pPr>
              <w:pStyle w:val="Compact"/>
              <w:bidi/>
              <w:jc w:val="left"/>
            </w:pPr>
            <w:r>
              <w:rPr>
                <w:rtl/>
              </w:rPr>
              <w:t xml:space="preserve">القطاع الخاص</w:t>
            </w:r>
          </w:p>
        </w:tc>
        <w:tc>
          <w:tcPr/>
          <w:p>
            <w:pPr>
              <w:pStyle w:val="Compact"/>
              <w:bidi/>
              <w:jc w:val="left"/>
            </w:pPr>
            <w:r>
              <w:rPr>
                <w:rtl/>
              </w:rPr>
              <w:t xml:space="preserve">المنح</w:t>
            </w:r>
          </w:p>
        </w:tc>
        <w:tc>
          <w:tcPr/>
          <w:p>
            <w:pPr>
              <w:pStyle w:val="Compact"/>
              <w:bidi/>
              <w:jc w:val="left"/>
            </w:pPr>
            <w:r>
              <w:rPr>
                <w:rtl/>
              </w:rPr>
              <w:t xml:space="preserve">درجة اليقين</w:t>
            </w:r>
          </w:p>
        </w:tc>
      </w:tr>
      <w:tr>
        <w:tc>
          <w:tcPr/>
          <w:p>
            <w:pPr>
              <w:pStyle w:val="Compact"/>
              <w:bidi/>
              <w:jc w:val="left"/>
            </w:pPr>
            <w:r>
              <w:rPr>
                <w:rtl/>
              </w:rPr>
              <w:t xml:space="preserve">إعادة تأهيل مشروع الجزيرة</w:t>
            </w:r>
          </w:p>
        </w:tc>
        <w:tc>
          <w:tcPr/>
          <w:p>
            <w:pPr>
              <w:pStyle w:val="Compact"/>
              <w:bidi/>
              <w:jc w:val="left"/>
            </w:pPr>
            <w:r>
              <w:rPr>
                <w:rtl/>
              </w:rPr>
              <w:t xml:space="preserve">تُحدَّد</w:t>
            </w:r>
          </w:p>
        </w:tc>
        <w:tc>
          <w:tcPr/>
          <w:p>
            <w:pPr>
              <w:pStyle w:val="Compact"/>
              <w:bidi/>
              <w:jc w:val="left"/>
            </w:pPr>
            <w:r>
              <w:rPr>
                <w:rtl/>
              </w:rPr>
              <w:t xml:space="preserve">تُحدَّد</w:t>
            </w:r>
          </w:p>
        </w:tc>
        <w:tc>
          <w:tcPr/>
          <w:p>
            <w:pPr>
              <w:pStyle w:val="Compact"/>
              <w:bidi/>
              <w:jc w:val="left"/>
            </w:pPr>
            <w:r>
              <w:rPr>
                <w:rtl/>
              </w:rPr>
              <w:t xml:space="preserve">تُحدَّد</w:t>
            </w:r>
          </w:p>
        </w:tc>
        <w:tc>
          <w:tcPr/>
          <w:p>
            <w:pPr>
              <w:pStyle w:val="Compact"/>
              <w:bidi/>
              <w:jc w:val="left"/>
            </w:pPr>
            <w:r>
              <w:rPr>
                <w:rtl/>
              </w:rPr>
              <w:t xml:space="preserve">2027–2031</w:t>
            </w:r>
          </w:p>
        </w:tc>
        <w:tc>
          <w:tcPr/>
          <w:p>
            <w:pPr>
              <w:pStyle w:val="Compact"/>
              <w:bidi/>
            </w:pPr>
          </w:p>
        </w:tc>
        <w:tc>
          <w:tcPr/>
          <w:p>
            <w:pPr>
              <w:pStyle w:val="Compact"/>
              <w:bidi/>
            </w:pPr>
          </w:p>
        </w:tc>
        <w:tc>
          <w:tcPr/>
          <w:p>
            <w:pPr>
              <w:pStyle w:val="Compact"/>
              <w:bidi/>
            </w:pPr>
          </w:p>
        </w:tc>
        <w:tc>
          <w:tcPr/>
          <w:p>
            <w:pPr>
              <w:pStyle w:val="Compact"/>
              <w:bidi/>
            </w:pPr>
          </w:p>
        </w:tc>
        <w:tc>
          <w:tcPr/>
          <w:p>
            <w:pPr>
              <w:pStyle w:val="Compact"/>
              <w:bidi/>
              <w:jc w:val="left"/>
            </w:pPr>
            <w:r>
              <w:rPr>
                <w:rtl/>
              </w:rPr>
              <w:t xml:space="preserve">منخفضة</w:t>
            </w:r>
          </w:p>
        </w:tc>
      </w:tr>
      <w:tr>
        <w:tc>
          <w:tcPr/>
          <w:p>
            <w:pPr>
              <w:pStyle w:val="Compact"/>
              <w:bidi/>
              <w:jc w:val="left"/>
            </w:pPr>
            <w:r>
              <w:rPr>
                <w:rtl/>
              </w:rPr>
              <w:t xml:space="preserve">الطاقة الشمسية الموزعة</w:t>
            </w:r>
          </w:p>
        </w:tc>
        <w:tc>
          <w:tcPr/>
          <w:p>
            <w:pPr>
              <w:pStyle w:val="Compact"/>
              <w:bidi/>
              <w:jc w:val="left"/>
            </w:pPr>
            <w:r>
              <w:rPr>
                <w:rtl/>
              </w:rPr>
              <w:t xml:space="preserve">تُحدَّد</w:t>
            </w:r>
          </w:p>
        </w:tc>
        <w:tc>
          <w:tcPr/>
          <w:p>
            <w:pPr>
              <w:pStyle w:val="Compact"/>
              <w:bidi/>
              <w:jc w:val="left"/>
            </w:pPr>
            <w:r>
              <w:rPr>
                <w:rtl/>
              </w:rPr>
              <w:t xml:space="preserve">منخفضة</w:t>
            </w:r>
          </w:p>
        </w:tc>
        <w:tc>
          <w:tcPr/>
          <w:p>
            <w:pPr>
              <w:pStyle w:val="Compact"/>
              <w:bidi/>
              <w:jc w:val="left"/>
            </w:pPr>
            <w:r>
              <w:rPr>
                <w:rtl/>
              </w:rPr>
              <w:t xml:space="preserve">تُحدَّد</w:t>
            </w:r>
          </w:p>
        </w:tc>
        <w:tc>
          <w:tcPr/>
          <w:p>
            <w:pPr>
              <w:pStyle w:val="Compact"/>
              <w:bidi/>
              <w:jc w:val="left"/>
            </w:pPr>
            <w:r>
              <w:rPr>
                <w:rtl/>
              </w:rPr>
              <w:t xml:space="preserve">2027–2030</w:t>
            </w:r>
          </w:p>
        </w:tc>
        <w:tc>
          <w:tcPr/>
          <w:p>
            <w:pPr>
              <w:pStyle w:val="Compact"/>
              <w:bidi/>
            </w:pPr>
          </w:p>
        </w:tc>
        <w:tc>
          <w:tcPr/>
          <w:p>
            <w:pPr>
              <w:pStyle w:val="Compact"/>
              <w:bidi/>
            </w:pPr>
          </w:p>
        </w:tc>
        <w:tc>
          <w:tcPr/>
          <w:p>
            <w:pPr>
              <w:pStyle w:val="Compact"/>
              <w:bidi/>
            </w:pPr>
          </w:p>
        </w:tc>
        <w:tc>
          <w:tcPr/>
          <w:p>
            <w:pPr>
              <w:pStyle w:val="Compact"/>
              <w:bidi/>
            </w:pPr>
          </w:p>
        </w:tc>
        <w:tc>
          <w:tcPr/>
          <w:p>
            <w:pPr>
              <w:pStyle w:val="Compact"/>
              <w:bidi/>
              <w:jc w:val="left"/>
            </w:pPr>
            <w:r>
              <w:rPr>
                <w:rtl/>
              </w:rPr>
              <w:t xml:space="preserve">متوسطة</w:t>
            </w:r>
          </w:p>
        </w:tc>
      </w:tr>
      <w:tr>
        <w:tc>
          <w:tcPr/>
          <w:p>
            <w:pPr>
              <w:pStyle w:val="Compact"/>
              <w:bidi/>
              <w:jc w:val="left"/>
            </w:pPr>
            <w:r>
              <w:rPr>
                <w:rtl/>
              </w:rPr>
              <w:t xml:space="preserve">إعادة فتح المدارس</w:t>
            </w:r>
          </w:p>
        </w:tc>
        <w:tc>
          <w:tcPr/>
          <w:p>
            <w:pPr>
              <w:pStyle w:val="Compact"/>
              <w:bidi/>
              <w:jc w:val="left"/>
            </w:pPr>
            <w:r>
              <w:rPr>
                <w:rtl/>
              </w:rPr>
              <w:t xml:space="preserve">تُحدَّد</w:t>
            </w:r>
          </w:p>
        </w:tc>
        <w:tc>
          <w:tcPr/>
          <w:p>
            <w:pPr>
              <w:pStyle w:val="Compact"/>
              <w:bidi/>
              <w:jc w:val="left"/>
            </w:pPr>
            <w:r>
              <w:rPr>
                <w:rtl/>
              </w:rPr>
              <w:t xml:space="preserve">رواتب المعلمين</w:t>
            </w:r>
          </w:p>
        </w:tc>
        <w:tc>
          <w:tcPr/>
          <w:p>
            <w:pPr>
              <w:pStyle w:val="Compact"/>
              <w:bidi/>
              <w:jc w:val="left"/>
            </w:pPr>
            <w:r>
              <w:rPr>
                <w:rtl/>
              </w:rPr>
              <w:t xml:space="preserve">تُحدَّد</w:t>
            </w:r>
          </w:p>
        </w:tc>
        <w:tc>
          <w:tcPr/>
          <w:p>
            <w:pPr>
              <w:pStyle w:val="Compact"/>
              <w:bidi/>
              <w:jc w:val="left"/>
            </w:pPr>
            <w:r>
              <w:rPr>
                <w:rtl/>
              </w:rPr>
              <w:t xml:space="preserve">2027–2029</w:t>
            </w:r>
          </w:p>
        </w:tc>
        <w:tc>
          <w:tcPr/>
          <w:p>
            <w:pPr>
              <w:pStyle w:val="Compact"/>
              <w:bidi/>
            </w:pPr>
          </w:p>
        </w:tc>
        <w:tc>
          <w:tcPr/>
          <w:p>
            <w:pPr>
              <w:pStyle w:val="Compact"/>
              <w:bidi/>
            </w:pPr>
          </w:p>
        </w:tc>
        <w:tc>
          <w:tcPr/>
          <w:p>
            <w:pPr>
              <w:pStyle w:val="Compact"/>
              <w:bidi/>
            </w:pPr>
          </w:p>
        </w:tc>
        <w:tc>
          <w:tcPr/>
          <w:p>
            <w:pPr>
              <w:pStyle w:val="Compact"/>
              <w:bidi/>
            </w:pPr>
          </w:p>
        </w:tc>
        <w:tc>
          <w:tcPr/>
          <w:p>
            <w:pPr>
              <w:pStyle w:val="Compact"/>
              <w:bidi/>
              <w:jc w:val="left"/>
            </w:pPr>
            <w:r>
              <w:rPr>
                <w:rtl/>
              </w:rPr>
              <w:t xml:space="preserve">متوسطة</w:t>
            </w:r>
          </w:p>
        </w:tc>
      </w:tr>
      <w:tr>
        <w:tc>
          <w:tcPr/>
          <w:p>
            <w:pPr>
              <w:pStyle w:val="Compact"/>
              <w:bidi/>
              <w:jc w:val="left"/>
            </w:pPr>
            <w:r>
              <w:rPr>
                <w:rtl/>
              </w:rPr>
              <w:t xml:space="preserve">الدمج والتسريح (المرحلة الأولى)</w:t>
            </w:r>
          </w:p>
        </w:tc>
        <w:tc>
          <w:tcPr/>
          <w:p>
            <w:pPr>
              <w:pStyle w:val="Compact"/>
              <w:bidi/>
              <w:jc w:val="left"/>
            </w:pPr>
            <w:r>
              <w:rPr>
                <w:rtl/>
              </w:rPr>
              <w:t xml:space="preserve">0.8–1.2 مليار $</w:t>
            </w:r>
          </w:p>
        </w:tc>
        <w:tc>
          <w:tcPr/>
          <w:p>
            <w:pPr>
              <w:pStyle w:val="Compact"/>
              <w:bidi/>
              <w:jc w:val="left"/>
            </w:pPr>
            <w:r>
              <w:rPr>
                <w:rtl/>
              </w:rPr>
              <w:t xml:space="preserve">—</w:t>
            </w:r>
          </w:p>
        </w:tc>
        <w:tc>
          <w:tcPr/>
          <w:p>
            <w:pPr>
              <w:pStyle w:val="Compact"/>
              <w:bidi/>
              <w:jc w:val="left"/>
            </w:pPr>
            <w:r>
              <w:rPr>
                <w:rtl/>
              </w:rPr>
              <w:t xml:space="preserve">50 ألف مقاتل</w:t>
            </w:r>
          </w:p>
        </w:tc>
        <w:tc>
          <w:tcPr/>
          <w:p>
            <w:pPr>
              <w:pStyle w:val="Compact"/>
              <w:bidi/>
              <w:jc w:val="left"/>
            </w:pPr>
            <w:r>
              <w:rPr>
                <w:rtl/>
              </w:rPr>
              <w:t xml:space="preserve">2027–2028</w:t>
            </w:r>
          </w:p>
        </w:tc>
        <w:tc>
          <w:tcPr/>
          <w:p>
            <w:pPr>
              <w:pStyle w:val="Compact"/>
              <w:bidi/>
            </w:pPr>
          </w:p>
        </w:tc>
        <w:tc>
          <w:tcPr/>
          <w:p>
            <w:pPr>
              <w:pStyle w:val="Compact"/>
              <w:bidi/>
              <w:jc w:val="left"/>
            </w:pPr>
            <w:r>
              <w:rPr>
                <w:rtl/>
              </w:rPr>
              <w:t xml:space="preserve">نحو 90%</w:t>
            </w:r>
          </w:p>
        </w:tc>
        <w:tc>
          <w:tcPr/>
          <w:p>
            <w:pPr>
              <w:pStyle w:val="Compact"/>
              <w:bidi/>
            </w:pPr>
          </w:p>
        </w:tc>
        <w:tc>
          <w:tcPr/>
          <w:p>
            <w:pPr>
              <w:pStyle w:val="Compact"/>
              <w:bidi/>
            </w:pPr>
          </w:p>
        </w:tc>
        <w:tc>
          <w:tcPr/>
          <w:p>
            <w:pPr>
              <w:pStyle w:val="Compact"/>
              <w:bidi/>
              <w:jc w:val="left"/>
            </w:pPr>
            <w:r>
              <w:rPr>
                <w:rtl/>
              </w:rPr>
              <w:t xml:space="preserve">متوسطة</w:t>
            </w:r>
          </w:p>
        </w:tc>
      </w:tr>
      <w:tr>
        <w:tc>
          <w:tcPr/>
          <w:p>
            <w:pPr>
              <w:pStyle w:val="Compact"/>
              <w:bidi/>
              <w:jc w:val="left"/>
            </w:pPr>
            <w:r>
              <w:rPr>
                <w:rtl/>
              </w:rPr>
              <w:t xml:space="preserve">التجربة الرائدة للدخل الأساسي</w:t>
            </w:r>
          </w:p>
        </w:tc>
        <w:tc>
          <w:tcPr/>
          <w:p>
            <w:pPr>
              <w:pStyle w:val="Compact"/>
              <w:bidi/>
              <w:jc w:val="left"/>
            </w:pPr>
            <w:r>
              <w:rPr>
                <w:rtl/>
              </w:rPr>
              <w:t xml:space="preserve">—</w:t>
            </w:r>
          </w:p>
        </w:tc>
        <w:tc>
          <w:tcPr/>
          <w:p>
            <w:pPr>
              <w:pStyle w:val="Compact"/>
              <w:bidi/>
              <w:jc w:val="left"/>
            </w:pPr>
            <w:r>
              <w:rPr>
                <w:rtl/>
              </w:rPr>
              <w:t xml:space="preserve">نحو 39 مليون $ سنوياً</w:t>
            </w:r>
          </w:p>
        </w:tc>
        <w:tc>
          <w:tcPr/>
          <w:p>
            <w:pPr>
              <w:pStyle w:val="Compact"/>
              <w:bidi/>
              <w:jc w:val="left"/>
            </w:pPr>
            <w:r>
              <w:rPr>
                <w:rtl/>
              </w:rPr>
              <w:t xml:space="preserve">10 آلاف أسرة</w:t>
            </w:r>
          </w:p>
        </w:tc>
        <w:tc>
          <w:tcPr/>
          <w:p>
            <w:pPr>
              <w:pStyle w:val="Compact"/>
              <w:bidi/>
              <w:jc w:val="left"/>
            </w:pPr>
            <w:r>
              <w:rPr>
                <w:rtl/>
              </w:rPr>
              <w:t xml:space="preserve">2028–2030</w:t>
            </w:r>
          </w:p>
        </w:tc>
        <w:tc>
          <w:tcPr/>
          <w:p>
            <w:pPr>
              <w:pStyle w:val="Compact"/>
              <w:bidi/>
            </w:pPr>
          </w:p>
        </w:tc>
        <w:tc>
          <w:tcPr/>
          <w:p>
            <w:pPr>
              <w:pStyle w:val="Compact"/>
              <w:bidi/>
            </w:pPr>
          </w:p>
        </w:tc>
        <w:tc>
          <w:tcPr/>
          <w:p>
            <w:pPr>
              <w:pStyle w:val="Compact"/>
              <w:bidi/>
            </w:pPr>
          </w:p>
        </w:tc>
        <w:tc>
          <w:tcPr/>
          <w:p>
            <w:pPr>
              <w:pStyle w:val="Compact"/>
              <w:bidi/>
            </w:pPr>
          </w:p>
        </w:tc>
        <w:tc>
          <w:tcPr/>
          <w:p>
            <w:pPr>
              <w:pStyle w:val="Compact"/>
              <w:bidi/>
              <w:jc w:val="left"/>
            </w:pPr>
            <w:r>
              <w:rPr>
                <w:rtl/>
              </w:rPr>
              <w:t xml:space="preserve">مرتفعة</w:t>
            </w:r>
          </w:p>
        </w:tc>
      </w:tr>
    </w:tbl>
    <w:p>
      <w:pPr>
        <w:bidi/>
      </w:pPr>
      <w:r>
        <w:rPr>
          <w:rtl/>
        </w:rPr>
        <w:br w:type="page"/>
      </w:r>
    </w:p>
    <w:bookmarkEnd w:id="64"/>
    <w:bookmarkStart w:id="65" w:name="الملحق-الثالث-كيف-حسبت-الأرقام"/>
    <w:p>
      <w:pPr>
        <w:pStyle w:val="Heading1"/>
        <w:bidi/>
      </w:pPr>
      <w:r>
        <w:rPr>
          <w:rtl/>
        </w:rPr>
        <w:t xml:space="preserve">الملحق الثالث: كيف حُسبت الأرقام</w:t>
      </w:r>
    </w:p>
    <w:p>
      <w:pPr>
        <w:pStyle w:val="Compact"/>
        <w:numPr>
          <w:ilvl w:val="0"/>
          <w:numId w:val="1005"/>
        </w:numPr>
        <w:bidi/>
      </w:pPr>
      <w:r>
        <w:rPr>
          <w:b/>
          <w:bCs/>
          <w:rtl/>
        </w:rPr>
        <w:t xml:space="preserve">الناتج في 2026</w:t>
      </w:r>
      <w:r>
        <w:rPr>
          <w:rtl/>
        </w:rPr>
        <w:t xml:space="preserve"> </w:t>
      </w:r>
      <w:r>
        <w:rPr>
          <w:rtl/>
        </w:rPr>
        <w:t xml:space="preserve">= 60.2 × (1 + 0.055) = 63.5 مليار دولار.</w:t>
      </w:r>
    </w:p>
    <w:p>
      <w:pPr>
        <w:pStyle w:val="Compact"/>
        <w:numPr>
          <w:ilvl w:val="0"/>
          <w:numId w:val="1005"/>
        </w:numPr>
        <w:bidi/>
      </w:pPr>
      <w:r>
        <w:rPr>
          <w:b/>
          <w:bCs/>
          <w:rtl/>
        </w:rPr>
        <w:t xml:space="preserve">الناتج في أي سنة لاحقة</w:t>
      </w:r>
      <w:r>
        <w:rPr>
          <w:rtl/>
        </w:rPr>
        <w:t xml:space="preserve"> </w:t>
      </w:r>
      <w:r>
        <w:rPr>
          <w:rtl/>
        </w:rPr>
        <w:t xml:space="preserve">= الناتج في 2026 × (1 + معدل النمو)^(عدد السنوات بعد 2026).</w:t>
      </w:r>
    </w:p>
    <w:p>
      <w:pPr>
        <w:pStyle w:val="Compact"/>
        <w:numPr>
          <w:ilvl w:val="0"/>
          <w:numId w:val="1005"/>
        </w:numPr>
        <w:bidi/>
      </w:pPr>
      <w:r>
        <w:rPr>
          <w:b/>
          <w:bCs/>
          <w:rtl/>
        </w:rPr>
        <w:t xml:space="preserve">مستوى 2022 قبل الحرب</w:t>
      </w:r>
      <w:r>
        <w:rPr>
          <w:rtl/>
        </w:rPr>
        <w:t xml:space="preserve"> </w:t>
      </w:r>
      <w:r>
        <w:rPr>
          <w:rtl/>
        </w:rPr>
        <w:t xml:space="preserve">= 60.2 ÷ [(1 − 0.294) × (1 − 0.14) × (1 + 0.031)] = نحو 96.2 مليار دولار بأسعار 2025.</w:t>
      </w:r>
    </w:p>
    <w:p>
      <w:pPr>
        <w:pStyle w:val="Compact"/>
        <w:numPr>
          <w:ilvl w:val="0"/>
          <w:numId w:val="1005"/>
        </w:numPr>
        <w:bidi/>
      </w:pPr>
      <w:r>
        <w:rPr>
          <w:b/>
          <w:bCs/>
          <w:rtl/>
        </w:rPr>
        <w:t xml:space="preserve">الناتج كنسبة من مستوى 2022</w:t>
      </w:r>
      <w:r>
        <w:rPr>
          <w:rtl/>
        </w:rPr>
        <w:t xml:space="preserve"> </w:t>
      </w:r>
      <w:r>
        <w:rPr>
          <w:rtl/>
        </w:rPr>
        <w:t xml:space="preserve">= الناتج في السنة ÷ 96.2.</w:t>
      </w:r>
    </w:p>
    <w:p>
      <w:pPr>
        <w:pStyle w:val="Compact"/>
        <w:numPr>
          <w:ilvl w:val="0"/>
          <w:numId w:val="1005"/>
        </w:numPr>
        <w:bidi/>
      </w:pPr>
      <w:r>
        <w:rPr>
          <w:b/>
          <w:bCs/>
          <w:rtl/>
        </w:rPr>
        <w:t xml:space="preserve">نصيب الفرد</w:t>
      </w:r>
      <w:r>
        <w:rPr>
          <w:rtl/>
        </w:rPr>
        <w:t xml:space="preserve"> </w:t>
      </w:r>
      <w:r>
        <w:rPr>
          <w:rtl/>
        </w:rPr>
        <w:t xml:space="preserve">= الناتج ÷ [53.1 مليون × (1.026)^(السنة − 2026)].</w:t>
      </w:r>
    </w:p>
    <w:p>
      <w:pPr>
        <w:pStyle w:val="Compact"/>
        <w:numPr>
          <w:ilvl w:val="0"/>
          <w:numId w:val="1005"/>
        </w:numPr>
        <w:bidi/>
      </w:pPr>
      <w:r>
        <w:rPr>
          <w:b/>
          <w:bCs/>
          <w:rtl/>
        </w:rPr>
        <w:t xml:space="preserve">الإيرادات</w:t>
      </w:r>
      <w:r>
        <w:rPr>
          <w:rtl/>
        </w:rPr>
        <w:t xml:space="preserve"> </w:t>
      </w:r>
      <w:r>
        <w:rPr>
          <w:rtl/>
        </w:rPr>
        <w:t xml:space="preserve">= الناتج × نسبة الإيرادات المستهدفة لتلك السنة.</w:t>
      </w:r>
    </w:p>
    <w:p>
      <w:pPr>
        <w:pStyle w:val="Compact"/>
        <w:numPr>
          <w:ilvl w:val="0"/>
          <w:numId w:val="1005"/>
        </w:numPr>
        <w:bidi/>
      </w:pPr>
      <w:r>
        <w:rPr>
          <w:b/>
          <w:bCs/>
          <w:rtl/>
        </w:rPr>
        <w:t xml:space="preserve">الدفاع</w:t>
      </w:r>
      <w:r>
        <w:rPr>
          <w:rtl/>
        </w:rPr>
        <w:t xml:space="preserve"> </w:t>
      </w:r>
      <w:r>
        <w:rPr>
          <w:rtl/>
        </w:rPr>
        <w:t xml:space="preserve">= الناتج × 5%؛ ونصيبه من الإيرادات = الدفاع ÷ الإيرادات.</w:t>
      </w:r>
    </w:p>
    <w:p>
      <w:pPr>
        <w:pStyle w:val="Compact"/>
        <w:numPr>
          <w:ilvl w:val="0"/>
          <w:numId w:val="1005"/>
        </w:numPr>
        <w:bidi/>
      </w:pPr>
      <w:r>
        <w:rPr>
          <w:b/>
          <w:bCs/>
          <w:rtl/>
        </w:rPr>
        <w:t xml:space="preserve">الحساسية</w:t>
      </w:r>
      <w:r>
        <w:rPr>
          <w:rtl/>
        </w:rPr>
        <w:t xml:space="preserve"> </w:t>
      </w:r>
      <w:r>
        <w:rPr>
          <w:rtl/>
        </w:rPr>
        <w:t xml:space="preserve">= الناتج في 2026 × (1 + المعدل)^8، لكل معدل في الجدول.</w:t>
      </w:r>
    </w:p>
    <w:p>
      <w:pPr>
        <w:pStyle w:val="Compact"/>
        <w:numPr>
          <w:ilvl w:val="0"/>
          <w:numId w:val="1005"/>
        </w:numPr>
        <w:bidi/>
      </w:pPr>
      <w:r>
        <w:rPr>
          <w:b/>
          <w:bCs/>
          <w:rtl/>
        </w:rPr>
        <w:t xml:space="preserve">كلفة التحويلات النقدية</w:t>
      </w:r>
      <w:r>
        <w:rPr>
          <w:rtl/>
        </w:rPr>
        <w:t xml:space="preserve"> </w:t>
      </w:r>
      <w:r>
        <w:rPr>
          <w:rtl/>
        </w:rPr>
        <w:t xml:space="preserve">= عدد الأسر × المبلغ الشهري × 12.</w:t>
      </w:r>
    </w:p>
    <w:p>
      <w:pPr>
        <w:pStyle w:val="FirstParagraph"/>
        <w:bidi/>
      </w:pPr>
      <w:r>
        <w:rPr>
          <w:rtl/>
        </w:rPr>
        <w:t xml:space="preserve">وكل هذه الحسابات قابلة لإعادة الإنتاج بجدول بيانات بسيط، ويمكن تحديثها فور صدور أرقام جديدة.</w:t>
      </w:r>
    </w:p>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04A72BF5-0163-4180-93F1-93153D48BF09}"/>
    <w:embedBold r:id="rIdFont2" w:fontKey="{9786F0EA-907F-4295-8F06-CA300F604576}"/>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